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SK.2014.1 vom 28. Januar 2014</w:t>
      </w:r>
    </w:p>
    <w:p>
      <w:r>
        <w:t>Bundesstrafgericht, 2014-01-28, DE</w:t>
      </w:r>
    </w:p>
    <w:p>
      <w:r>
        <w:rPr>
          <w:b/>
        </w:rPr>
        <w:t xml:space="preserve">Quelle: </w:t>
      </w:r>
      <w:r>
        <w:t>https://mcp.opencaselaw.ch/entscheid/bstger_SK.2014.1</w:t>
      </w:r>
    </w:p>
    <w:p>
      <w:r>
        <w:t>FR: TPF SK.2014.1 du 28 janvier 2014</w:t>
      </w:r>
    </w:p>
    <w:p>
      <w:r>
        <w:t>IT: TPF SK.2014.1 del 28 gennaio 2014</w:t>
      </w:r>
    </w:p>
    <w:p>
      <w:pPr>
        <w:pStyle w:val="Heading2"/>
      </w:pPr>
      <w:r>
        <w:t>Regeste</w:t>
      </w:r>
    </w:p>
    <w:p>
      <w:r>
        <w:t>Kosten- und Entschädigungsfolgen, Genugtuung, Kaution, Rückweisungsurteile des Bundesgerichts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Rückweisungsverfahren SK.2014.1 wird in fünf einzelne Verfahren abgetrennt. Die abgetrennten Verfahren verteilen sich wie folgt auf die rubrizierten Personen:</w:t>
      </w:r>
    </w:p>
    <w:p>
      <w:r>
        <w:t>A.: SK.2014.1</w:t>
      </w:r>
    </w:p>
    <w:p>
      <w:r>
        <w:t>B.: SK.2014.2</w:t>
      </w:r>
    </w:p>
    <w:p>
      <w:r>
        <w:t>C.: SK.2014.3</w:t>
      </w:r>
    </w:p>
    <w:p>
      <w:r>
        <w:t>D./F. und G.: SK.2014.4</w:t>
      </w:r>
    </w:p>
    <w:p>
      <w:r>
        <w:t>E.: SK.2014.5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eröffnet.</w:t>
      </w:r>
    </w:p>
    <w:p>
      <w:r>
        <w:t>Im Namen der Strafkammer des Bundesstrafgerichts</w:t>
      </w:r>
    </w:p>
    <w:p>
      <w:r>
        <w:t>Der Vorsitzende Die Gerichtsschreiberin</w:t>
      </w:r>
    </w:p>
    <w:p>
      <w:r>
        <w:t>- 5 -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Gegen den Entschädigungsentscheid kann die amtliche Verteidigung innert 10 Tagen schriftlich und be- gründet Beschwerde bei der Beschwerdekammer des Bundesstrafgerichts führen (Art. 135 Abs. 3 lit. a und Art. 396 Abs. 1 StPO; Art. 37 Abs. 1 StBOG). Mit der Beschwerde können gerügt werden: a. Rechtsverletzungen, einschliesslich Überschreitung und Missbrauch des Ermessens, Rechtsverweigerung und Rechtsverzögerung; b. die unvollständige oder un- richtige Feststellung des Sachverhalts; c. Unangemessenheit (Art. 393 Abs. 2 StPO).</w:t>
      </w:r>
    </w:p>
    <w:p>
      <w:r>
        <w:t>Versand: 28.01.2014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