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SK.2013.22 vom 20. August 2013</w:t>
      </w:r>
    </w:p>
    <w:p>
      <w:r>
        <w:t>Bundesstrafgericht, 2013-08-20, FR</w:t>
      </w:r>
    </w:p>
    <w:p>
      <w:r>
        <w:rPr>
          <w:b/>
        </w:rPr>
        <w:t xml:space="preserve">Quelle: </w:t>
      </w:r>
      <w:r>
        <w:t>https://mcp.opencaselaw.ch/entscheid/bstger_SK.2013.22</w:t>
      </w:r>
    </w:p>
    <w:p>
      <w:r>
        <w:t>FR: TPF SK.2013.22 du 20 août 2013</w:t>
      </w:r>
    </w:p>
    <w:p>
      <w:r>
        <w:t>IT: TPF SK.2013.22 del 20 agosto 2013</w:t>
      </w:r>
    </w:p>
    <w:p>
      <w:pPr>
        <w:pStyle w:val="Heading2"/>
      </w:pPr>
      <w:r>
        <w:t>Regeste</w:t>
      </w:r>
    </w:p>
    <w:p>
      <w:r>
        <w:t>Tentative d'escroquerie (art. 22 et art. 146 CP); Compétence fonctionnelle; Renvoi au MPC</w:t>
      </w:r>
    </w:p>
    <w:p>
      <w:pPr>
        <w:pStyle w:val="Heading2"/>
      </w:pPr>
      <w:r>
        <w:t>Erwägungen</w:t>
      </w:r>
    </w:p>
    <w:p>
      <w:r>
        <w:rPr>
          <w:b/>
        </w:rPr>
        <w:t>E. 1.1</w:t>
      </w:r>
    </w:p>
    <w:p>
      <w:r>
        <w:t>Aux termes de l'art. 352 al. 1 CPP, le ministère public rend une ordon- nance pénale visant une amende et une peine pécuniaire de 180 jours- amende au plus (al. 1 let. a et b et al. 3) si, durant la procédure prélimi- naire, le prévenu a admis les faits ou que ceux-ci sont établis. Confor- mément à l'art. 354 al. 1 let. a CPP, le prévenu peut former opposition contre l'ordonnance pénale par écrit et dans les dix jours. Dans ce cas, le ministère public administre les autres preuves nécessaires au juge- ment de l'opposition (art. 355 al. 1 CPP). Après l'administration des preuves, il peut décider de maintenir l'ordonnance pénale, de classer la procédure, rendre une nouvelle ordonnance pénale ou porter l'accusa- tion devant le tribunal de première instance (art. 355 al. 1 let. a à d CPP).</w:t>
      </w:r>
    </w:p>
    <w:p>
      <w:r>
        <w:rPr>
          <w:b/>
        </w:rPr>
        <w:t>E. 1.2</w:t>
      </w:r>
    </w:p>
    <w:p>
      <w:r>
        <w:t>En l'espèce, parmi les diverses possibilités que lui offrait l'art. 355 al. 3 CPP, le MPC a choisi de porter l'accusation devant l'autorité de céans, en rédigeant un acte d'accusation en lieu et place du maintien de l'ordonnance pénale frappée d'opposition (art. 355 al. 3 let. d CPP). Comme on l'a vu plus haut, la Cour de céans lui a renvoyé cet acte d'accusation pour correction dans le sens des considérants (cf. supra let. E). Le MPC a alors décidé, par acte du 4 juin 2013, de retirer l'acte d'accusation et de maintenir l'ordonnance pénale du 8 novembre 2012, celle-ci tenant lieu, selon le MPC, d'acte d'accusation (art. 356 al. 1 in fi- ne CPP) (cl. 18 pag. 18100001).</w:t>
      </w:r>
    </w:p>
    <w:p>
      <w:r>
        <w:rPr>
          <w:b/>
        </w:rPr>
        <w:t>E. 2.1</w:t>
      </w:r>
    </w:p>
    <w:p>
      <w:r>
        <w:t>Le principe de l'accusation est une composante du droit d'être entendu consacré par l'art. 29 al. 2 Cst. Il peut aussi être déduit des art. 32 al. 2 Cst. et 6 § 3 CEDH, qui n'ont à cet égard pas de portée distincte. Il im- plique que le prévenu sache exactement les faits qui lui sont imputés et quelles sont les peines et mesures auxquelles il est exposé, afin qu'il puisse s'expliquer et préparer efficacement sa défense. La décision d'engager l'accusation est l'acte par lequel le ministère public exprime l'avis qu'il existe contre le prévenu des charges suffisantes et décide qu'il y a lieu de suivre la procédure et faire comparaître le prévenu devant une juridiction de jugement, étant entendu que la maxime accusatoire trouve avant tout son expression dans l'axiome "nullum iudicium sine accusatione" (MICHAEL DAPHINOFF, Das Strafbefehlsverfahren in der Schweizerischen Strafprozessordnung, Zurich/Bâle/Genève 2012, p. 648). En d'autres termes, la mise en accusation – qui peut consister dans le maintien de l'ordonnance pénale ex art. 356 CPP avec transmis-</w:t>
      </w:r>
    </w:p>
    <w:p>
      <w:r>
        <w:rPr>
          <w:b/>
        </w:rPr>
        <w:t>E. 2.2</w:t>
      </w:r>
    </w:p>
    <w:p>
      <w:r>
        <w:t>Une partie de la doctrine est d'avis que l'ordonnance pénale ne conserve d'existence que dans le cas où le ministère public, au terme de l'instruc- tion, décide de la maintenir (art. 355 al. 3 let. a CPP); dans cette - seule - hypothèse, en effet, la cause est transmise au tribunal de première ins- tance qui statuera sur la base des faits retenus dans l'ordonnance péna- le, celle-ci ayant valeur d'un acte d'accusation (art. 356 al. 1 in fine CPP). En revanche, dans les autres cas mentionnés à l'art. 355 al. 3 let. b, c, et d CPP, où le MPC décide de ne pas maintenir l'ordonnance pénale, celle-ci est anéantie par la nouvelle ordonnance pénale, l'acte d'accusation ou le classement et ne peut pas revivre par la suite (MICHAEL DAPHINOFF, op. cit., n° 4 p. 572; GÉRARD PIQUEREZ/ALAIN MA- LACUSO, Procédure pénale suisse, 3ème éd., Genève/Zurich/Bâle 2011, n° 1734 p. 586; GWLADYS GILLIÉRON/MARTIN KILLIAS, Commentaire romand, Code de procédure pénale suisse, Bâle 2011, ad art. 355 CPP nos 7 et 8 p. 1585; YVAN JEANNERET, Procédure pénale suisse, Approche théorique et mise en œuvre cantonale, Neuchâtel 2010, n° 71 p. 98).</w:t>
      </w:r>
    </w:p>
    <w:p>
      <w:r>
        <w:t>Une autre partie de la doctrine ne s'est pas prononcée sur cette question (FRANZ RIKLIN, Basler Kommentar StPO (ci-après: BK-StPO), Bâle 2011, ad Art. 355 StPO; CHRISTIAN SCHWARZENEGGER, Kommentar zur Schweizerischen Strafprozessordnung, Zurich/Bâle/Genève 2010, ad Art. 355 StPO; NIKLAUS SCHMID, Schweizeriche Strafprozessordnung, Praxiskommentar, Zurich/St-Gall 2009, ad Art. 355 StPO; PAOLO BER- NASCONI, Codice svizzero di procedura penale (CPP), Zurich/St-Gall 2010, ad art. 355ss CPP).</w:t>
      </w:r>
    </w:p>
    <w:p>
      <w:r>
        <w:t>Par ailleurs, il y a lieu de souligner que le principe de la bonne foi est le corollaire d'un principe plus général, celui de la confiance, lequel suppo- se que les rapports juridiques se fondent et s'organisent sur une base de loyauté et sur le respect de la parole donnée. Ancré à l'art. 9 Cst. et va- lant pour l'ensemble de l'activité étatique, le principe de la bonne foi exi- ge que l'administration et les administrés se comportent réciproquement de manière loyale. En particulier, l'art. 3 CPP garantit les principes du respect de la dignité et du procès équitable. Il prévoit notamment que les autorités pénales se conforment au principe de la bonne foi et de l'inter- diction de l'abus de droit (art. 3 al. 2 let a et b CPP). Selon le principe constitutionnel garanti à l'art. 5 al. 3 Cst., toute autorité doit s'abstenir de procédés déloyaux et de comportements contradictoires. Cette exigence</w:t>
      </w:r>
    </w:p>
    <w:p>
      <w:r>
        <w:rPr>
          <w:b/>
        </w:rPr>
        <w:t>E. 6</w:t>
      </w:r>
    </w:p>
    <w:p>
      <w:r>
        <w:t>sion du dossier au juge du fond – constitue une condition indispensable pour justifier la saisine du tribunal de première instance, l'absence de la mise en accusation conduisant par voie de conséquence à une incompé- tence fonctionnelle de ladite juridiction.</w:t>
      </w:r>
    </w:p>
    <w:p>
      <w:r>
        <w:rPr>
          <w:b/>
        </w:rPr>
        <w:t>E. 7</w:t>
      </w:r>
    </w:p>
    <w:p>
      <w:r>
        <w:t>est en effet indispensable à la sécurité juridique et trouve application chaque fois que l'autorité crée un apparence de droit. Elle est à ce titre liée par les conséquences qui découlent de son activité (ATF 136 I 254 consid 5.2; 100 Ia 386; arrêt du Tribunal fédéral 1B_640/2012 du 13 novembre 2012, consid. 3.1 et les références citées; ANDREAS AUER/GIORGIO MALINVERNI/MICHEL HOTTELIER, Droit constitutionnel suis- se, Vol. II, 2ème éd., Berne 2006, n° 1159 ss).</w:t>
      </w:r>
    </w:p>
    <w:p>
      <w:r>
        <w:t>Au vu des considérations qui précèdent, la Cour de céans décide de se rallier à l'avis des premiers auteurs cités dans la mesure où celui-ci lui semble convaincant également à la lumière du respect du principe de la légalité procédurale ancré à l'art. 2 al. 2 CPP.</w:t>
      </w:r>
    </w:p>
    <w:p>
      <w:r>
        <w:t>Par conséquent, force est de constater que dès lors que le ministère pu- blic avait choisi de dresser un acte d'accusation en date du 7 février 2013, l'ordonnance pénale du 8 novembre 2012 a été anéantie par ce choix et a perdu toute validité. Partant, elle ne pouvait pas être à nou- veau présentée à la Cour pour porter l'accusation devant elle. L'absence d'une mise en accusation valable a dès lors pour conséquence l'incom- pétence fonctionnelle de l'autorité de céans (cf. supra consid. 2.1). Du reste, cette dernière avait déjà renvoyé l'acte d'accusation du 7 février 2013, porté par le MPC devant elle suite à l'opposition formée par le prévenu le 19 novembre 2012 contre l'ordonnance pénale du 8 novem- bre 2012 (cf. supra let. E), la procédure devant cette Cour étant à ce stade suspendue et l'accusation ayant été renvoyée au MPC pour cor- rections (cf. dispositif de l'ordonnance de la Cour de céans du 2 mai 2013). 3. Au vu de ce qui précède, il se justifie de constater le défaut de compé- tence fonctionnelle de la Cour de céans en l'absence d'une mise en accusation valable, condition procédurale qui doit être vérifiée d'office (MAX HAURI, BK-StPO, n° 13 ad Art. 339 StPO), et, par conséquent, d'ordonner le renvoi du dossier de la cause au MPC. 4. La présente décision est rendue sans frais (art. 421 al. 2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