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SK.2013.13 vom 26. Juli 2013</w:t>
      </w:r>
    </w:p>
    <w:p>
      <w:r>
        <w:t>Bundesstrafgericht, 2013-07-26, FR</w:t>
      </w:r>
    </w:p>
    <w:p>
      <w:r>
        <w:rPr>
          <w:b/>
        </w:rPr>
        <w:t xml:space="preserve">Quelle: </w:t>
      </w:r>
      <w:r>
        <w:t>https://mcp.opencaselaw.ch/entscheid/bstger_SK.2013.13</w:t>
      </w:r>
    </w:p>
    <w:p>
      <w:r>
        <w:t>FR: TPF SK.2013.13 du 26 juillet 2013</w:t>
      </w:r>
    </w:p>
    <w:p>
      <w:r>
        <w:t>IT: TPF SK.2013.13 del 26 luglio 2013</w:t>
      </w:r>
    </w:p>
    <w:p>
      <w:pPr>
        <w:pStyle w:val="Heading2"/>
      </w:pPr>
      <w:r>
        <w:t>Regeste</w:t>
      </w:r>
    </w:p>
    <w:p>
      <w:r>
        <w:t>Dommages à la propriété (art. 144 CP) et violation de domicile (art. 186 CP)</w:t>
      </w:r>
    </w:p>
    <w:p>
      <w:pPr>
        <w:pStyle w:val="Heading2"/>
      </w:pPr>
      <w:r>
        <w:t>Erwägungen</w:t>
      </w:r>
    </w:p>
    <w:p>
      <w:r>
        <w:rPr>
          <w:b/>
        </w:rPr>
        <w:t>E. 1</w:t>
      </w:r>
    </w:p>
    <w:p>
      <w:r>
        <w:t>Compétence de la Cour de céans</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 teneur de l'art. 23 al. 1 CPP, sont soumises à la juridiction fédérale l'infraction de violation de domicile (art. 186 CP), en tant qu'elle a été commise contre des personnes jouissant d'une protection spéciale en vertu du droit international (let. a), et l'infraction de dommages à la propriété (art. 144 CP), en tant qu'elle concerne les locaux, les archives et les documents des missions diplomatiques et consulaires (let. b). L'art. 23 al. 1 let. a et b CPP consacre l'obligation de la Confédération, en tant qu'Etat accréditaire au sens de la Convention de Vienne du 18 avril 1961 sur les relations diplomatiques (RS 0.191.01; ci-après: CVRD), de protéger les membres des missions diplomatiques et leurs locaux situés sur le territoire suisse (cf. GIUSEP NAY/MARC THOMMEN/DANIEL KIPFER, in Basler Kommentar, Schweizerische Strafprozessordnung, Bâle 2010, n° 7 ad art. 23 CPP). Cette obligation résulte d'un principe du droit international en vertu duquel les locaux des missions diplomatiques font partie intégrante du territoire de l'Etat d'accueil (ou Etat accréditaire) et qu'ils ne peuvent pas se prévaloir de l'extraterritorialité (WALTER HALLER/ALFRED KÖLZ/THOMAS GÄCHTER, Allgemeines Staatsrecht, 4e éd., Bâle 2008, p. 11; STEFAN TRECHSEL/HANS VEST, in Schweizerisches Strafgesetzbuch, Praxiskommentar, Zurich/St-Gall 2008, n° 3 ad art. 3 CP). Le Tribunal fédéral a déduit de ce principe que les infractions commises dans une ambassade située en Suisse sont soumises au droit pénal suisse et qu'elles relèvent de la compétence juridictionnelle des autorités helvétiques (ATF 109 IV 156 consid. 1 p. 157 s.; PETER POPP/TORNIKE KESHELAVA, in Basler Kommentar, Strafrecht I, 3e éd., Bâle 2013, n° 3 ad art. 3 CP et les réf.).</w:t>
      </w:r>
    </w:p>
    <w:p>
      <w:r>
        <w:rPr>
          <w:b/>
        </w:rPr>
        <w:t>E. 1.2</w:t>
      </w:r>
    </w:p>
    <w:p>
      <w:r>
        <w:t>En l'occurrence, les infractions de dommages à la propriété (art. 144 CP) et de violation de domicile (art. 186 CP) reprochées au prévenu ont eu lieu dans</w:t>
      </w:r>
    </w:p>
    <w:p>
      <w:r>
        <w:t>- 7 - l'Ambassade de A., à Berne. Cette dernière est une mission diplomatique au sens de la CVRD (cf. ANDREAS R. ZIEGLER, Introduction au droit international public, 2e éd., Berne 2011, n° 670), de sorte que les infractions qui auraient été commises dans ses locaux relèvent de la compétence juridictionnelle des autorités suisses. Les infractions reprochées au prévenu faisant partie de la liste de l'art. 23 CPP, la compétence de la Cour de céans est donnée.</w:t>
      </w:r>
    </w:p>
    <w:p>
      <w:r>
        <w:rPr>
          <w:b/>
        </w:rPr>
        <w:t>E. 2</w:t>
      </w:r>
    </w:p>
    <w:p>
      <w:r>
        <w:t>Examen de la qualité pour porter plainte</w:t>
      </w:r>
    </w:p>
    <w:p>
      <w:r>
        <w:rPr>
          <w:b/>
        </w:rPr>
        <w:t>E. 2.1</w:t>
      </w:r>
    </w:p>
    <w:p>
      <w:r>
        <w:t>Les infractions reprochées à C. ne sont poursuivables que sur plainte, le MPC n'ayant pas retenu la notion d'attroupement public au sens de l'art. 144 al. 2 CP dans l'ordonnance pénale du 20 décembre 2012. Il convient ainsi d'examiner si la plainte pénale déposée le 3 janvier 2012 pour les faits survenus le</w:t>
      </w:r>
    </w:p>
    <w:p>
      <w:r>
        <w:rPr>
          <w:b/>
        </w:rPr>
        <w:t>E. 2.2</w:t>
      </w:r>
    </w:p>
    <w:p>
      <w:r>
        <w:t>Dans le cas d'espèce, B. a déposé plainte pour les deux infractions précitées. Selon la liste du corps diplomatique éditée par le Département fédéral des affaires étrangères (édition du mois de mars 2013), le prénommé exerce la fonction de chargé d'affaires ad interim auprès de l'Ambassade de A. à Berne depuis le 26 novembre 2009. D'après les art. 5 ch. 2 et 19 ch. 1 de la CVRD – à laquelle la Suisse et A. sont parties –, le chargé d'affaires ad interim est habilité à agir comme chef de la mission diplomatique si ce poste est vacant. Même si l'art. 19 ch. 1 CVRD prévoit que le chargé d'affaires ad interim agit à titre</w:t>
      </w:r>
    </w:p>
    <w:p>
      <w:r>
        <w:t>- 8 - provisoire, cette disposition n'en limite pas pour autant la durée de sa fonction et une pareille limitation ne résulte pas non plus des autres dispositions de cette Convention. En particulier, l'art. 43 CVRD dispose que les fonctions d'un agent diplomatique prennent fin notamment si l'Etat accréditant – soit A. – révoque le mandat de l'agent diplomatique ou si l'Etat accréditaire – soit la Suisse – refuse de reconnaître cet agent. Dans la mesure où B. a été reconnu en sa qualité de chargé d'affaires ad interim par les autorités suisses (cf. la liste du corps diplomatique évoquée ci-dessus) et que son mandat ne semble pas avoir été révoqué par les autorités de A., en l'absence de tout élément concret en ce sens figurant dans les actes de la cause, il peut valablement représenter l'Ambassade de A. à Berne pour les faits qui la concerne. Dès lors, il entre dans la notion de lésé au sens de l'art. 30 al. 1 CP et il a la qualité pour porter plainte pour les faits survenus le 6 décembre 2011. Par conséquent, la plainte qu'il a déposée le 3 janvier 2012 est valable, le délai de l'art. 31 CP ayant été respecté. Il convient donc d'entrer en matière sur les infractions de dommages à la propriété (art. 144 CP) et de violation de domicile (art. 186 CP) faisant l'objet de cette plainte.</w:t>
      </w:r>
    </w:p>
    <w:p>
      <w:r>
        <w:t>3. Dommages à la propriété (art. 144 CP) 3.1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w:t>
      </w:r>
    </w:p>
    <w:p>
      <w:r>
        <w:t>L'atteinte réprimée à l'art. 144 CP peut consister à détruire ou à altérer la chose. Elle peut aussi consister dans une modification de la chose qui a pour effet d'en supprimer ou d'en réduire l'usage, les propriétés, les fonctions ou l'agrément. L'auteur se rend ainsi coupable de dommages à la propriété dès qu'il cause un changement de l'état de la chose qui n'est pas immédiatement réversible sans frais ni effort et qui porte atteinte à un intérêt légitime (ATF 128 IV 250 consid. 2 p. 252; BERNARD CORBOZ, Les infractions en droit suisse, Vol. I, 3e éd., Berne 2010, nos 11 ss ad art. 144 CP et les réf.). Tel est le cas de celui qui brise une fenêtre, qui casse une statue ou détruit des documents (cf. les exemples cités par PHILIPPE WEISSENBERGER, in Basler Kommentar Strafrecht II, 3e éd., Bâle 2013 [ci-après: BK-Strafrecht II], nos 24 ss ad art. 144 CP, ainsi que par DUPUIS ET AL., Petit Commentaire du Code pénal, Bâle 2012, n° 27 ad art. 144 CP). L'infraction est intentionnelle, le dol éventuel étant toutefois suffisant (BERNARD CORBOZ, op. cit., n° 23 ad art. 144 CP et la réf.).</w:t>
      </w:r>
    </w:p>
    <w:p>
      <w:r>
        <w:t>- 9 - 3.2 Lorsque deux ou plusieurs auteurs commettent une infraction se pose la question de la coactivité. D'après la jurisprudence,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arrêt du Tribunal fédéral 6B_477/2011 du 24 novembre 2011, consid. 1.1). Le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p. 23 s.; arrêt du Tribunal fédéral 6B_741/2009 du 3 novembre 2009, consid. 2.3.1). 3.3 Dans le présent cas, les dommages causés le 6 décembre 2011 ont été chiffrés à CHF 9'058.--, ce qui exclu l'application de l'art. 172ter CP (ATF 123 IV 113 consid. 3d p. 119). C. a déclaré ne pas avoir commis de dégâts ce jour-là lors de son interrogatoire par le MPC (dossier MPC SV.11.0305-SCL, p. 13-03- 0007), ce qu'il a maintenu aux débats devant la Cour de céans (dossier TPF, p. 3 930 005). Ses déclarations sont confirmées par les deux vidéos figurant dans le dossier de la cause, sur lesquelles il apparaît qu'il n'a pas brisé la fenêtre de l'Ambassade de A., ni commis d'autres dommages le 6 décembre 2011. Etant donné qu'il n'est pas l'auteur direct de ces dommages se pose la question d'une coactivité de sa part. Lors de son interrogatoire par le MPC (dossier MPC SV.11.0305-SCL, p. 13-03-0006 ss), C. a expliqué qu'il avait été avisé du rassemblement prévu le 6 décembre 2011 au moyen des réseaux sociaux. Il a confirmé ceci aux débats tout en précisant qu'il n'avait pas participé</w:t>
      </w:r>
    </w:p>
    <w:p>
      <w:r>
        <w:t>- 10 - à l'organisation de cette manifestation et qu'il ne savait pas qui l'avait organisée (dossier TPF, p. 3 930 004 s.). Lors de leur interrogatoire par le MPC, D. et F. ont également déclaré avoir été contactés via les réseaux sociaux (dossier MPC SV.11.0305-SCL, p. 13-01-0005 et 13-04-0006). C. a expliqué au MPC qu'il ne connaissait pas personnellement ceux qui avaient été présents le</w:t>
      </w:r>
    </w:p>
    <w:p>
      <w:r>
        <w:rPr>
          <w:b/>
        </w:rPr>
        <w:t>E. 6</w:t>
      </w:r>
    </w:p>
    <w:p>
      <w:r>
        <w:t>Sursis à l'exécution de la peine</w:t>
      </w:r>
    </w:p>
    <w:p>
      <w:r>
        <w:rPr>
          <w:b/>
        </w:rPr>
        <w:t>E. 6.1</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w:t>
      </w:r>
    </w:p>
    <w:p>
      <w:r>
        <w:t>- 14 - commettre de nouvelles infractions doit être tranchée sur la base d'une appréciation d'ensemble tenant compte des circonstances de l'infraction, des antécédents de l'auteur, de sa réputation et de sa situation personnelle au moment du jugement. Le pronostic doit être posé sur la base de tous les éléments propres à éclairer le caractère de l'accusé et ses chances d'amendement. Le sursis ne peut être refusé qu'en présence d'un pronostic défavorable (ATF 135 IV 180 consid. 2.1 p. 185 s.).</w:t>
      </w:r>
    </w:p>
    <w:p>
      <w:r>
        <w:rPr>
          <w:b/>
        </w:rPr>
        <w:t>E. 6.2</w:t>
      </w:r>
    </w:p>
    <w:p>
      <w:r>
        <w:t>Les faits dont C. s'est rendu coupable sont peu graves et ses antécédents sont bons, vu qu'il ne figure pas au casier judiciaire suisse. De même, sa réputation et sa situation personnelle ne soulèvent aucune remarque particulière. Le pronostic peut donc être qualifié de favorable. Partant, C. est mis au bénéfice du sursis à l'exécution de la peine avec un délai d'épreuve de deux ans (art. 44 al. 1 CP).</w:t>
      </w:r>
    </w:p>
    <w:p>
      <w:r>
        <w:rPr>
          <w:b/>
        </w:rPr>
        <w:t>E. 7</w:t>
      </w:r>
    </w:p>
    <w:p>
      <w:r>
        <w:t>Conclusions civiles</w:t>
      </w:r>
    </w:p>
    <w:p>
      <w:r>
        <w:rPr>
          <w:b/>
        </w:rPr>
        <w:t>E. 7.1</w:t>
      </w:r>
    </w:p>
    <w:p>
      <w:r>
        <w:t>Selon l'art. 122 al. 1 CPP, en qualité de partie plaignante, le lésé peut faire valoir des conclusions civiles déduites de l'infraction par adhésion à la procédure pénale. Les conclusions civiles consistent principalement en des prétentions en dommages-intérêts (art. 41 ss CO) et en réparation du tort moral (art. 47 et 49 CO) dirigées contre le prévenu (NICOLAS JEANDIN/HENRY MATZ, in Commentaire romand, Code de procédure pénale suisse, Bâle 2011 [ci- après: CR-CPP], nos 16 s. ad art. 122 CPP et les réf.). Ces conclusions ayant pour objet des prétentions de droit privé, les principes fondamentaux qui gouvernent toute procédure civile sont applicables. Ainsi, le lésé supporte le fardeau de l'allégation des faits et de l'administration des preuves et il doit chiffrer ses prétentions (NICOLAS JEANDIN/HENRY MATZ, in CR-CPP, nos 2 ss ad art. 123 CPP et les réf.).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(NICOLAS JEANDIN/HENRY MATZ, in CR-CPP, n° 5 ad art. 123 CPP et les réf.). Sur le plan procédural,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w:t>
      </w:r>
    </w:p>
    <w:p>
      <w:r>
        <w:t>- 15 -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(NICOLAS JEANDIN/HENRY MATZ, in CR-CPP, n° 21 ad art. 126 CPP et les réf.).</w:t>
      </w:r>
    </w:p>
    <w:p>
      <w:r>
        <w:rPr>
          <w:b/>
        </w:rPr>
        <w:t>E. 7.2</w:t>
      </w:r>
    </w:p>
    <w:p>
      <w:r>
        <w:t>En l'occurrence, l'Ambassade de A. a chiffré les dommages causés le 6 décembre 2011 à CHF 9'058.-- et en a demandé le remboursement au titre de conclusions civiles. Aucune documentation relative à ces prétentions civiles n'a cependant été déposée, à l'exception d'une facture du 9 décembre 2011 de CHF 258.-- pour laquelle aucune preuve de paiement n'a été apportée. Faute d'une motivation suffisante, l'Ambassade de A. doit être renvoyée à agir par la voie civile (art. 126 al. 2 let. b CPP).</w:t>
      </w:r>
    </w:p>
    <w:p>
      <w:r>
        <w:rPr>
          <w:b/>
        </w:rPr>
        <w:t>E. 8</w:t>
      </w:r>
    </w:p>
    <w:p>
      <w:r>
        <w:t>Frais</w:t>
      </w:r>
    </w:p>
    <w:p>
      <w:r>
        <w:rPr>
          <w:b/>
        </w:rPr>
        <w:t>E. 8.1</w:t>
      </w:r>
    </w:p>
    <w:p>
      <w:r>
        <w:t>Les frais de procédure se composent des émoluments visant à couvrir les frais et les débours effectivement supportés (art. 422 al. 1 CPP).</w:t>
      </w:r>
    </w:p>
    <w:p>
      <w:r>
        <w:t>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t>Les frais sont en principe à la charge du condamné (art. 426 al. 1 CPP), l'art. 426 al. 2 CPP étant réservé. En cas d'acquittement total, les frais sont à la charge de la Confédération (art. 423 al. 1 CPP).</w:t>
      </w:r>
    </w:p>
    <w:p>
      <w:r>
        <w:rPr>
          <w:b/>
        </w:rPr>
        <w:t>E. 8.2</w:t>
      </w:r>
    </w:p>
    <w:p>
      <w:r>
        <w:t>A teneur de l'ordonnance pénale du 20 décembre 2012, le MPC a chiffré les émoluments et les débours de la procédure préliminaire à la charge de C. à</w:t>
      </w:r>
    </w:p>
    <w:p>
      <w:r>
        <w:t>- 16 - respectivement CHF 300.-- et CHF 10.--. Ces deux montants peuvent être admis. Quant aux émoluments et débours de la procédure de première instance, ils sont fixés à CHF 490.-- par la Cour de céans, ce qui porte le total des frais de la procédure à CHF 800.--. C. a été acquitté du chef d'accusation de dommages à la propriété (art. 144 CP) et reconnu coupable de violation de domicile (art. 186 CP). Malgré cette condamnation, il n'apparaît pas qu'il ait violé une norme de comportement pouvant justifier la mise à sa charge de l'intégralité des frais de la procédure (art. 426 al. 2 CPP; cf. arrêt du Tribunal fédéral 6B_331/2012 du 22 octobre 2012, consid. 2.3). Il se justifie donc de répartir ces frais à raison d'une moitié chacun entre le prénommé et la Confédération. Par conséquence, les frais de la procédure sont mis à la charge de C. à concurrence de CHF 400.-- (art. 426 al. 1 CPP), les autres frais de la procédure étant mis à la charge de la Confédération (art. 423 al. 1 CPP).</w:t>
      </w:r>
    </w:p>
    <w:p>
      <w:r>
        <w:rPr>
          <w:b/>
        </w:rPr>
        <w:t>E. 9</w:t>
      </w:r>
    </w:p>
    <w:p>
      <w:r>
        <w:t>Indemnités et réparation du tort moral</w:t>
      </w:r>
    </w:p>
    <w:p>
      <w:r>
        <w:rPr>
          <w:b/>
        </w:rPr>
        <w:t>E. 9.1</w:t>
      </w:r>
    </w:p>
    <w:p>
      <w:r>
        <w:t>D'après l'art. 429 al. 1 CPP, le prévenu a droit, s'il est acquitté totalement ou en partie, à une indemnité pour les dépenses occasionnées par l'exercice raisonnable de ses droits de procédure (let. a), à une indemnité pour le dommage économique subi au titre de sa participation obligatoire à la procédure pénale (let. b) et une réparation du tort moral subi en raison d'une atteinte particulièrement grave à sa personnalité (let. c). Selon la jurisprudence, il n'y a pas lieu d'envisager une indemnisation du prévenu en cas de condamnation aux frais, l'obligation de supporter les frais et l'allocation d'une indemnité s'excluant réciproquement. En cas d'acquittement partiel, ce principe doit être relativisé. Ainsi, si le prévenu est libéré d'un chef d'accusation et condamné pour un autre, il sera condamné aux frais relatifs à sa condamnation et aura droit à une indemnité correspondant à son acquittement partiel, sous réserve de l'art. 430 CPP (arrêt du Tribunal fédéral 6B_300/2012 du 10 juin 2013, consid. 2.3 et les réf.).</w:t>
      </w:r>
    </w:p>
    <w:p>
      <w:r>
        <w:rPr>
          <w:b/>
        </w:rPr>
        <w:t>E. 9.2</w:t>
      </w:r>
    </w:p>
    <w:p>
      <w:r>
        <w:t>En l'espèce, C. a été informé aux débats des droits découlant de l'art. 429 CPP. A la demande de la Cour de céans, il a déclaré ne pas avoir de prétentions à faire valoir à ce titre (dossier TPF, p. 3 930 006). Dès lors, une indemnité ou une réparation du tort moral correspondant à son acquittement partiel n'entre pas en ligne de compte.</w:t>
      </w:r>
    </w:p>
    <w:p>
      <w:r>
        <w:t>- 17 - La Cour prononce: I.</w:t>
      </w:r>
    </w:p>
    <w:p>
      <w:r>
        <w:t>1. C. est acquitté du chef d'accusation de dommages à la propriété (art. 144 CP).</w:t>
      </w:r>
    </w:p>
    <w:p>
      <w:r>
        <w:t>2. Il est reconnu coupable de violation de domicile (art. 186 CP).</w:t>
      </w:r>
    </w:p>
    <w:p>
      <w:r>
        <w:t>3. Il est condamné à un travail d'intérêt général de 40 heures.</w:t>
      </w:r>
    </w:p>
    <w:p>
      <w:r>
        <w:t>4. Il est mis au bénéfice du sursis à l'exécution de la peine avec un délai d'épreuve de deux ans (art. 42 al. 1 CP).</w:t>
      </w:r>
    </w:p>
    <w:p>
      <w:r>
        <w:t>II. Les prétentions civiles de l'Ambassade de la République démocratique de A. sont renvoyées au for civil (art. 126 al. 2 let. b CPP).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