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SK.2012.39 vom 11. April 2013</w:t>
      </w:r>
    </w:p>
    <w:p>
      <w:r>
        <w:t>Bundesstrafgericht, 2013-04-11, DE</w:t>
      </w:r>
    </w:p>
    <w:p>
      <w:r>
        <w:rPr>
          <w:b/>
        </w:rPr>
        <w:t xml:space="preserve">Quelle: </w:t>
      </w:r>
      <w:r>
        <w:t>https://mcp.opencaselaw.ch/entscheid/bstger_SK.2012.39</w:t>
      </w:r>
    </w:p>
    <w:p>
      <w:r>
        <w:t>FR: TPF SK.2012.39 du 11 avril 2013</w:t>
      </w:r>
    </w:p>
    <w:p>
      <w:r>
        <w:t>IT: TPF SK.2012.39 del 11 aprile 2013</w:t>
      </w:r>
    </w:p>
    <w:p>
      <w:pPr>
        <w:pStyle w:val="Heading2"/>
      </w:pPr>
      <w:r>
        <w:t>Regeste</w:t>
      </w:r>
    </w:p>
    <w:p>
      <w:r>
        <w:t>Beteiligung an (eventualiter Unterstützung) einer kriminellen Organisation, Fälschung von Urkunden des Auslandes sowie Versuch dazu, Förderung der rechtswidrigen Ein- und Ausreise mit Bereicherungsabsicht, Öffentliche Aufforderung zu Verbrechen oder zu Gewalttätigkeit, Gewaltdarstellungen, Rassendiskriminierung, fahrlässige Geschäftsführung ohne Bewilligung (aArt. 36 GwG); Ergänzung des Vorverfahrens, Sistierung; Rückweisung an BA</w:t>
      </w:r>
    </w:p>
    <w:p>
      <w:pPr>
        <w:pStyle w:val="Heading2"/>
      </w:pPr>
      <w:r>
        <w:t>Erwägungen</w:t>
      </w:r>
    </w:p>
    <w:p>
      <w:r>
        <w:rPr>
          <w:b/>
        </w:rPr>
        <w:t>E. 1</w:t>
      </w:r>
    </w:p>
    <w:p>
      <w:r>
        <w:t>A., amtlich verteidigt durch Fürsprecher Thomas Wenger</w:t>
      </w:r>
    </w:p>
    <w:p>
      <w:r>
        <w:rPr>
          <w:b/>
        </w:rPr>
        <w:t>E. 2</w:t>
      </w:r>
    </w:p>
    <w:p>
      <w:r>
        <w:t>Der Verfahrensleiter prüfte die Anklageschrift am 28. Februar 2013 und erachtete sie als gesetzeskonform. Er lud die Bundesanwaltschaft am 1. März 2013 ein, dem Gericht eine Beweisliste einzureichen, aus welcher hervorgehe, welche Akten den einzelnen Tatvorwürfen jeweils zugrunde liegen würden. Die Bundesanwaltschaft lehnte dies mit Eingabe vom 18. März 2013 ab. Die Besprechung vom</w:t>
      </w:r>
    </w:p>
    <w:p>
      <w:r>
        <w:rPr>
          <w:b/>
        </w:rPr>
        <w:t>E. 5</w:t>
      </w:r>
    </w:p>
    <w:p>
      <w:r>
        <w:t>Die Rechtshängigkeit ist nicht beim Gericht zu belassen (Art. 329 Abs. 3 StPO).</w:t>
      </w:r>
    </w:p>
    <w:p>
      <w:r>
        <w:t>Zwecks Vornahme der notwendigen Aktenergänzung im Vorverfahren sowie zur Erstellung der Beweisdossiers und fehlenden Verzeichnisse sind die Akten an die Bundesanwaltschaft zurückzugeben.</w:t>
      </w:r>
    </w:p>
    <w:p>
      <w:r>
        <w:rPr>
          <w:b/>
        </w:rPr>
        <w:t>E. 6</w:t>
      </w:r>
    </w:p>
    <w:p>
      <w:r>
        <w:t>Die Kosten für diesen Beschluss können vorweg verlegt werden (Art. 421 Abs. 2 lit. a StPO). Sie gehen zu Lasten des Bundes, soweit das Gesetz keinen anderen Kostenträger bestimmt (Art. 423 Abs. 1 StPO). Dies ist hier nicht der Fall; insbe- sondere sind die Voraussetzungen von Art. 426 Abs. 1 und 2 StPO, die Kosten den Beschuldigten aufzuerlegen, nicht erfüllt. Als angemessen erscheint eine Gerichtsgebühr von 2'000 Franken (Art. 7 lit. b des Reglements des Bundesstrafgerichts vom 31. August 2010 über die Kosten, Ge- bühren und Entschädigungen in Bundesstrafverfahren [BStKR; SR 173.713.163]).</w:t>
      </w:r>
    </w:p>
    <w:p>
      <w:r>
        <w:rPr>
          <w:b/>
        </w:rPr>
        <w:t>E. 7</w:t>
      </w:r>
    </w:p>
    <w:p>
      <w:r>
        <w:t>Der Beschluss über die Sistierung des Strafverfahrens nach Art. 329 Abs. 2 StPO unterliegt der Beschwerde an die Beschwerdekammer des Bundesstrafgerichts (Entscheide des Bundesstrafgerichts BB.2011.133 vom 20. Dezember 2011 E. 1.2 und BB.2012.32 vom 9. Oktober 2012 E. 1.3).</w:t>
      </w:r>
    </w:p>
    <w:p>
      <w:r>
        <w:t>- 9 -</w:t>
      </w:r>
    </w:p>
    <w:p>
      <w:r>
        <w:t>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