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SK.2012.1 vom 16. Februar 2012</w:t>
      </w:r>
    </w:p>
    <w:p>
      <w:r>
        <w:t>Bundesstrafgericht, 2012-02-16, DE</w:t>
      </w:r>
    </w:p>
    <w:p>
      <w:r>
        <w:rPr>
          <w:b/>
        </w:rPr>
        <w:t xml:space="preserve">Quelle: </w:t>
      </w:r>
      <w:r>
        <w:t>https://mcp.opencaselaw.ch/entscheid/bstger_SK.2012.1</w:t>
      </w:r>
    </w:p>
    <w:p>
      <w:r>
        <w:t>FR: TPF SK.2012.1 du 16 février 2012</w:t>
      </w:r>
    </w:p>
    <w:p>
      <w:r>
        <w:t>IT: TPF SK.2012.1 del 16 febbraio 2012</w:t>
      </w:r>
    </w:p>
    <w:p>
      <w:pPr>
        <w:pStyle w:val="Heading2"/>
      </w:pPr>
      <w:r>
        <w:t>Regeste</w:t>
      </w:r>
    </w:p>
    <w:p>
      <w:r>
        <w:t>Gesuch um Erlass von Verfahrenskosten</w:t>
      </w:r>
    </w:p>
    <w:p>
      <w:pPr>
        <w:pStyle w:val="Heading2"/>
      </w:pPr>
      <w:r>
        <w:t>Erwägungen</w:t>
      </w:r>
    </w:p>
    <w:p>
      <w:r>
        <w:rPr>
          <w:b/>
        </w:rPr>
        <w:t>E. 1</w:t>
      </w:r>
    </w:p>
    <w:p>
      <w:r>
        <w:t>Das Gesuch wird gutgeheissen und die Forderung aus den Verfahrenskosten gemäss Ziffer V.1 des Dispositivs des Entscheids des Bundesstrafgerichts SK.2010.17 vom 17. Dezember 2010 wird erlassen.</w:t>
      </w:r>
    </w:p>
    <w:p>
      <w:r>
        <w:rPr>
          <w:b/>
        </w:rPr>
        <w:t>E. 2</w:t>
      </w:r>
    </w:p>
    <w:p>
      <w:r>
        <w:t>Es werden keine Kosten erhoben.</w:t>
      </w:r>
    </w:p>
    <w:p>
      <w:r>
        <w:rPr>
          <w:b/>
        </w:rPr>
        <w:t>E. 3</w:t>
      </w:r>
    </w:p>
    <w:p>
      <w:r>
        <w:t>Dieser Entscheid wird A. schriftlich eröffnet und der Bundesanwaltschaft (Rechts- dienst) als Vollzugsbehörde mitgeteilt.</w:t>
      </w:r>
    </w:p>
    <w:p>
      <w:r>
        <w:t>Im Namen der Strafkammer des Bundesstrafgerichts</w:t>
      </w:r>
    </w:p>
    <w:p>
      <w:r>
        <w:t>Der Vorsitzende</w:t>
      </w:r>
    </w:p>
    <w:p>
      <w:r>
        <w:t>Der Gerichtsschreiber</w:t>
      </w:r>
    </w:p>
    <w:p>
      <w:r>
        <w:t>Rechtsmittelbelehrung Gegen Verfügungen und Beschlüsse sowie gegen die Verfahrenshandlungen der Strafkammer des Bun- desstrafgerichts als erstinstanzliches Gericht des Bundes kann (ausser gegen verfahrensleitende Ent- scheide) bei der Beschwerdekammer des Bundesstrafgerichts innert 10 Tagen schriftlich und begründet Beschwerde eingelegt werden (Art. 393 Abs. 1 lit. b und 394 ff. StPO). Mit der Beschwerde können Rechtsverletzungen, einschliesslich Überschreitung und Missbrauch des Ermessens, Rechtsverweigerung und Rechtsverzögerung, die unvollständige oder unrichtige Feststellung des Sachverhalts sowie Unangemessenheit gerügt werden (Art. 393 Abs. 2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