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SK.2011.21 vom 15. Dezember 2011</w:t>
      </w:r>
    </w:p>
    <w:p>
      <w:r>
        <w:t>Bundesstrafgericht, 2011-12-15, DE</w:t>
      </w:r>
    </w:p>
    <w:p>
      <w:r>
        <w:rPr>
          <w:b/>
        </w:rPr>
        <w:t xml:space="preserve">Quelle: </w:t>
      </w:r>
      <w:r>
        <w:t>https://mcp.opencaselaw.ch/entscheid/bstger_SK.2011.21</w:t>
      </w:r>
    </w:p>
    <w:p>
      <w:r>
        <w:t>FR: TPF SK.2011.21 du 15 décembre 2011</w:t>
      </w:r>
    </w:p>
    <w:p>
      <w:r>
        <w:t>IT: TPF SK.2011.21 del 15 dicembre 2011</w:t>
      </w:r>
    </w:p>
    <w:p>
      <w:pPr>
        <w:pStyle w:val="Heading2"/>
      </w:pPr>
      <w:r>
        <w:t>Regeste</w:t>
      </w:r>
    </w:p>
    <w:p>
      <w:r>
        <w:t>Qualifizierter wirtschaftlicher Nachrichtendienst (Art. 273 StGB), Geldwäscherei (Art. 305bis StGB), Verletzung des Geschäftsgeheimnisses (Art. 162 StGB) und Verletzung des Bankgeheimnisses (Art. 47 BankG)</w:t>
      </w:r>
    </w:p>
    <w:p>
      <w:pPr>
        <w:pStyle w:val="Heading2"/>
      </w:pPr>
      <w:r>
        <w:t>Erwägungen</w:t>
      </w:r>
    </w:p>
    <w:p>
      <w:r>
        <w:rPr>
          <w:b/>
        </w:rPr>
        <w:t>E. 26</w:t>
      </w:r>
    </w:p>
    <w:p>
      <w:r>
        <w:t>Oktober 2011 aufgehoben (cl. 18 pag. 18.440.1 ff.). D. Die Credit Suisse reichte am 23. März 2010 bei der Staatsanwaltschaft des Kan- tons Zürich Strafanzeige gegen Unbekannt ein. Sie beantragte die Durchführung</w:t>
      </w:r>
    </w:p>
    <w:p>
      <w:r>
        <w:t>- 3 - einer Untersuchung „wegen Beschaffung und Offenlegung von Daten und Infor- mationen der Anzeigeerstatterin“ und die Bestrafung der ermittelten Beschuldigten (cl. 1 pag. 5.1.1 ff.). E. Die Bundesanwaltschaft vereinigte mit Verfügung vom 1. April 2010 die Verfahren, soweit die zu untersuchenden Tatbestände kantonaler Zuständigkeit unterliegen, gemäss Art. 18 Abs. 2 aBStP in der Hand der Bundesbehörden (cl. 1 pag. 1.1.3). F. Die Credit Suisse konstituierte sich mit Eingabe vom 24. Januar 2011 als Pri- vatklägerschaft (cl. pag. 15.1.1). Andere eventuell Geschädigte konstituierten sich bis zum Abschluss des Vorverfahrens nicht als Privatkläger (Art. 118 StPO). G. Die Bundesanwaltschaft gab mit Verfügung vom 6. September 2011 dem Gesuch von A. vom 10. Februar 2011 (cl. 2 pag. 4.1.6) um Durchführung des abgekürzten Verfahrens gemäss Art. 358 ff. StPO statt (cl. 2 pag. 4.1.16 f.). H. Am 5. Oktober 2011 übermittelte die Bundesanwaltschaft dem Beschuldigten A. und der Credit Suisse den (bereinigten) Vorschlag für eine Anklageschrift (cl. 2 pag. 4.1.42 ff., 4.2.3). Mit Eingabe vom 10. Oktober 2011 erklärte A. schriftlich seine Zustimmung (cl. 2 pag. 4.1.54 f.). Die Credit Suisse stimmte der Anklage- schrift mit Eingabe vom 7. Oktober 2011 zu (cl. 2 pag. 4.2.4). I. Das Vorverfahren gegen +B., C. und Unbekannt wird von der Bundesanwaltschaft separat weitergeführt (cl. 18 pag. 18.100.12). J. Am 13. Oktober 2011 reichte die Bundesanwaltschaft beim Bundesstrafgericht die Anklageschrift vom 5. Oktober 2011 im abgekürzten Verfahren gegen A. ein (cl. 18 pag. 18.100.1 ff.). K. Am 15. Dezember 2011 fand am Sitz des Bundesstrafgerichts vor dem Einzelrich- ter der Strafkammer die Hauptverhandlung im abgekürzten Verfahren in Anwe- senheit der Parteien statt (cl. 18 pag. 18.920.1 ff.).</w:t>
      </w:r>
    </w:p>
    <w:p>
      <w:r>
        <w:t>- 4 - Der Einzelrichter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