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SK.2011.20 vom 14. Oktober 2011</w:t>
      </w:r>
    </w:p>
    <w:p>
      <w:r>
        <w:t>Bundesstrafgericht, 2011-10-14, DE</w:t>
      </w:r>
    </w:p>
    <w:p>
      <w:r>
        <w:rPr>
          <w:b/>
        </w:rPr>
        <w:t xml:space="preserve">Quelle: </w:t>
      </w:r>
      <w:r>
        <w:t>https://mcp.opencaselaw.ch/entscheid/bstger_SK.2011.20</w:t>
      </w:r>
    </w:p>
    <w:p>
      <w:r>
        <w:t>FR: TPF SK.2011.20 du 14 octobre 2011</w:t>
      </w:r>
    </w:p>
    <w:p>
      <w:r>
        <w:t>IT: TPF SK.2011.20 del 14 ottobre 2011</w:t>
      </w:r>
    </w:p>
    <w:p>
      <w:pPr>
        <w:pStyle w:val="Heading2"/>
      </w:pPr>
      <w:r>
        <w:t>Regeste</w:t>
      </w:r>
    </w:p>
    <w:p>
      <w:r>
        <w:t>Mehrfache qualifizierte Widerhandlungen gegen das Betäubungsmittelgesetz, gewerbs- und bandenmässiger Diebstahl, mehrfache Sachbeschädigung, mehrfacher Hausfriedensbruch sowie des Versuchs hiezu und Hehlerei sowie des Versuchs hiezu.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Beschuldigte wird schuldig gesprochen der a) mehrfach qualifizierten Widerhandlung gegen das Betäubungsmittelgesetz im Sinne von Art. 19 Abs. 1 lit. b, c und d in Verbindung mit Abs. 2 des Gesetzes, teilweise in Verbindung mit Abs. 2 lit. a. des Gesetzes; b) des gewerbs- und bandenmässigen Diebstahls im Sinne von Art. 139 Ziffer 1 StGB in Verbindung mit Art. 139 Ziffer 2 und Ziffer 3 Abs. 1 und 2 StGB; c) der mehrfachen Sachbeschädigung im Sinne von Art. 144 Abs. 1 StGB; d) des mehrfachen Hausfriedensbruchs sowie des Versuchs hiezu im Sinne von Art. 186 StGB, teilweise in Verbindung mit Art. 22 Abs. 1 StGB, sowie e) der Hehlerei sowie des Versuchs hiezu im Sinne von Art. 160 StGB, teilweise in Verbindung mit Art. 22 Abs. 1 StGB.</w:t>
      </w:r>
    </w:p>
    <w:p>
      <w:r>
        <w:rPr>
          <w:b/>
        </w:rPr>
        <w:t>E. 2</w:t>
      </w:r>
    </w:p>
    <w:p>
      <w:r>
        <w:t>Der Beschuldigte wird bestraft mit einer Freiheitsstrafe von 18 Monaten, wovon</w:t>
      </w:r>
    </w:p>
    <w:p>
      <w:r>
        <w:rPr>
          <w:b/>
        </w:rPr>
        <w:t>E. 6</w:t>
      </w:r>
    </w:p>
    <w:p>
      <w:r>
        <w:t>Die Verfahrenskosten werden dem Verurteilten C. auferlegt, mit Ausnahme der Ent- schädigung des amtlichen Verteidigers in Höhe von Fr.15'000.–. Hierfür hat der Ver- urteilte C. der Eidgenossenschaft Ersatz zu leisten, sobald er dazu in der Lage ist.</w:t>
      </w:r>
    </w:p>
    <w:p>
      <w:r>
        <w:rPr>
          <w:b/>
        </w:rPr>
        <w:t>E. 7</w:t>
      </w:r>
    </w:p>
    <w:p>
      <w:r>
        <w:t>Es wird vorgemerkt, dass die Parteien mit der Zustimmung zum abgekürzten Verfah- ren auf ein ordentliches Verfahren sowie auf Rechtsmittel verzichtet haben.</w:t>
      </w:r>
    </w:p>
    <w:p>
      <w:r>
        <w:t>- 6 - Dieser Entscheid wird in der Hauptverhandlung eröffnet und durch den Einzelrich- ter mündlich begründet. Eine vollständige schriftliche Ausfertigung wird zugestellt an - den Beschuldigten und dessen Verteidiger - die Bundesanwaltschaft - den Privatkläger A. - den Privatkläger B. Im Namen der Strafkammer des Bundesstrafgerichts Der Einzelrichter Der Gerichtsschreiber Nach Eintritt der Rechtskraft mitzuteilen an: - Bundesanwaltschaft als Vollzugsbehörde - Migrationsamt des Kantons Schaffhausen</w:t>
      </w:r>
    </w:p>
    <w:p>
      <w:r>
        <w:t>Rechtsmittelbelehrung Gegen den vorliegenden verfahrensabschliessenden Entscheid der Strafkammer des Bundesstrafgerichts kann beim Bundesgericht, 1000 Lausanne 14, innert 30 Tagen nach der Zustellung der vollständigen Ur- teilsausfertigung Beschwerde eingelegt werden (Art. 78, Art. 80 Abs. 1, Art. 90 und Art. 100 Abs. 1 BGG). Mit der Beschwerde kann in sinngemässer Anwendung von Art. 362 Abs. 5 StPO eine Partei nur geltend machen, sie habe der Anklageschrift (Urteilsvorschlag) nicht zugestimmt oder das Urteil entspreche der Anklageschrift nicht.</w:t>
      </w:r>
    </w:p>
    <w:p>
      <w:r>
        <w:t>Versand: 17. Oktober 2011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