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SK.2010.14 vom 23. März 2011</w:t>
      </w:r>
    </w:p>
    <w:p>
      <w:r>
        <w:t>Bundesstrafgericht, 2011-03-23, DE</w:t>
      </w:r>
    </w:p>
    <w:p>
      <w:r>
        <w:rPr>
          <w:b/>
        </w:rPr>
        <w:t xml:space="preserve">Quelle: </w:t>
      </w:r>
      <w:r>
        <w:t>https://mcp.opencaselaw.ch/entscheid/bstger_SK.2010.14</w:t>
      </w:r>
    </w:p>
    <w:p>
      <w:r>
        <w:t>FR: TPF SK.2010.14 du 23 mars 2011</w:t>
      </w:r>
    </w:p>
    <w:p>
      <w:r>
        <w:t>IT: TPF SK.2010.14 del 23 marzo 2011</w:t>
      </w:r>
    </w:p>
    <w:p>
      <w:pPr>
        <w:pStyle w:val="Heading2"/>
      </w:pPr>
      <w:r>
        <w:t>Regeste</w:t>
      </w:r>
    </w:p>
    <w:p>
      <w:r>
        <w:t>Mehrfache qualifizierte Widerhandlung gegen das Betäubungsmittelgesetz. (Rückweisungsurteil des Bundesgerichts vom 31. Mai 2010).</w:t>
      </w:r>
    </w:p>
    <w:p>
      <w:pPr>
        <w:pStyle w:val="Heading2"/>
      </w:pPr>
      <w:r>
        <w:t>Erwägungen</w:t>
      </w:r>
    </w:p>
    <w:p>
      <w:r>
        <w:rPr>
          <w:b/>
        </w:rPr>
        <w:t>E. 1</w:t>
      </w:r>
    </w:p>
    <w:p>
      <w:r>
        <w:t>anklagegemäss schuldig zu sprechen der mehrfachen qualifizierten Widerhand- lung gegen das Betäubungsmittelgesetz im Sinne von Art. 19 Ziff. 1 al. 4 i.V.m. Art. 19 Ziff. 2 lit. a BetmG,</w:t>
      </w:r>
    </w:p>
    <w:p>
      <w:r>
        <w:rPr>
          <w:b/>
        </w:rPr>
        <w:t>E. 2.1</w:t>
      </w:r>
    </w:p>
    <w:p>
      <w:r>
        <w:t>zu einer Freiheitsstrafe von 12 Monaten, unter Anrechnung von 590 Tagen erstan- dener Untersuchungshaft, als Zusatzstrafe zum Urteil des Obergerichts des Kan- tons Zürich vom 15. Februar 2000 zu verurteilen.</w:t>
      </w:r>
    </w:p>
    <w:p>
      <w:r>
        <w:rPr>
          <w:b/>
        </w:rPr>
        <w:t>E. 2.2</w:t>
      </w:r>
    </w:p>
    <w:p>
      <w:r>
        <w:t>Der Vollzug der Freiheitsstrafe sei teilweise aufzuschieben; der zu vollziehende Teil soll 6 Monate, der bedingt aufgeschobene Teil ebenfalls 6 Monate betragen, unter Ansetzung einer Probezeit von 2 Jahren.</w:t>
      </w:r>
    </w:p>
    <w:p>
      <w:r>
        <w:rPr>
          <w:b/>
        </w:rPr>
        <w:t>E. 2.3</w:t>
      </w:r>
    </w:p>
    <w:p>
      <w:r>
        <w:t>Die Strafe sei durch den Kanton Zürich zu vollziehen.</w:t>
      </w:r>
    </w:p>
    <w:p>
      <w:r>
        <w:rPr>
          <w:b/>
        </w:rPr>
        <w:t>E. 3</w:t>
      </w:r>
    </w:p>
    <w:p>
      <w:r>
        <w:t>Die im Verfahren gegen den Beschuldigten sichergestellten Gegenstände seien dem Berechtigten herauszugeben (pag. 72.100.16; Pos. 1.1–3, 1.4)</w:t>
      </w:r>
    </w:p>
    <w:p>
      <w:r>
        <w:rPr>
          <w:b/>
        </w:rPr>
        <w:t>E. 4</w:t>
      </w:r>
    </w:p>
    <w:p>
      <w:r>
        <w:t>Folgende im Verfahren sichergestellten Vermögenswerte seien herauszugeben (pag. 72.100.16, Pos. 1.5): Fr. 10'910.00 und LBP 46'000.00.</w:t>
      </w:r>
    </w:p>
    <w:p>
      <w:r>
        <w:rPr>
          <w:b/>
        </w:rPr>
        <w:t>E. 5</w:t>
      </w:r>
    </w:p>
    <w:p>
      <w:r>
        <w:t>Es sei eine Ersatzforderung von Fr. 1'150.00 festzusetzen. Zu deren Deckung sei- en die im Verfahren sichergestellten Vermögenswerte von EUR 20.00, Fr. 440.00 und USD 570.00 zu verwenden (pag. 72.100.16; Pos. 1.5).</w:t>
      </w:r>
    </w:p>
    <w:p>
      <w:r>
        <w:rPr>
          <w:b/>
        </w:rPr>
        <w:t>E. 6</w:t>
      </w:r>
    </w:p>
    <w:p>
      <w:r>
        <w:t>Dem Beschuldigten seien folgende sichergestellten Barschaften herauszugeben: Fr. 440.–, Euro 20.00 und USD 570.00 (pag. 72.100.16, Pos.1.5).</w:t>
      </w:r>
    </w:p>
    <w:p>
      <w:r>
        <w:t>- 4 - Prozessgeschichte: A. Die Bundesanwaltschaft eröffnete am 21. Juli 2003 ein gerichtspolizeiliches Er- mittlungsverfahren gegen C. und Mitbeteiligte wegen Verdachts der qualifizierten Widerhandlung gegen das Betäubungsmittelgesetz, ausgehend von einer krimi- nellen Organisation (cl. 2 pag. 1.0.1). Das Verfahren wurde verschiedentlich aus- gedehnt (cl. 2 pag. 1.0.2–7), so am 5. August 2005 auf A., den Bruder von C., und auf D., sodann am 24. Januar 2006 auf E., die damalige Ehefrau von C.. B. Bei A., C. sowie bei F., wo sich D. aufhielt, wurden am 17. November 2005 Haus- durchsuchungen durchgeführt (cl. 8 pag. 8.1.1 f.; 8.2.1 f.; 8.3.1 f.). Beweisrelevan- te Gegenstände wurden von der Bundesanwaltschaft am 6. Juli 2007 beschlag- nahmt (cl. 8 pag. 8.1.59–61; 8.2.57–59; 8.3.74–77). C. A. war vom 17. November 2005 bis 29. Juni 2007 in Untersuchungshaft. D. Am 17. September 2007 stellte die Bundesanwaltschaft beim Eidgenössischen Untersuchungsrichteramt den Antrag auf Einleitung der Voruntersuchung (cl. 2 pag. 1.0.13 ff.). E. Das Eidgenössische Untersuchungsrichteramt eröffnete am 27. September 2007 eine Voruntersuchung gegen A., C., D. sowie E. (cl. 2 pag. 1.0.55 f.). Am 21. De- zember 2007 erliess es die Schlussverfügung (c. 31. pag. 22.06.1 ff.). F. Die Bundesanwaltschaft erhob am 31. März 2008 beim Bundesstrafgericht Ankla- ge gegen A., C., D. sowie E. (cl. 72 pag. 72.100.1 ff.). Das entsprechende Ge- richtsverfahren wurde unter der Prozessnummer SK.2008.3 geführt. G. Im Verfahren SK.2008.3 fällte das Bundesstrafgericht den Entscheid in Bezug auf die damals vier Beschuldigten am 8. Januar 2009. A. wurde wegen mehrfachen qualifizierten Widerhandlungen gegen das Betäubungsmittelgesetz schuldig ge- sprochen und zu einer teilbedingten Zusatzstrafe von 18 Monaten verurteilt (cl. 72 pag. 72.950.45). H. Gegen diesen Entscheid erhob A. Beschwerde beim Bundesgericht und beantrag- te dessen Aufhebung. Mit Urteil vom 31. Mai 2010 hat das Bundesgericht die Be- schwerde von A. gutgeheissen, den Entscheid des Bundesstrafgerichts vom</w:t>
      </w:r>
    </w:p>
    <w:p>
      <w:r>
        <w:rPr>
          <w:b/>
        </w:rPr>
        <w:t>E. 8</w:t>
      </w:r>
    </w:p>
    <w:p>
      <w:r>
        <w:t>Januar 2009 aufgehoben und an die Vorinstanz zurückgewiesen (Urteil des Bundesgerichts 6B_1067/2009 vom 31. Mai 2010).</w:t>
      </w:r>
    </w:p>
    <w:p>
      <w:r>
        <w:t>- 5 - I. C., D. sowie E. und sie bezüglich auch die Bundesanwaltschaft verzichteten im Verfahren SK 2008.3 auf ein Rechtsmittel. In Bezug auf diese Beschuldigten ist der entsprechende Entscheid vom 8. Januar 2009 in Rechtskraft erwachsen. J. Nach Eingang des Rückweisungsentscheides des Bundesgerichts eröffnete das Bundesstrafgericht erneut das Verfahren gegen A., unter der Prozessnummer SK 2010.14 (cl. 73 pag. 73.160.1). K. Mit Präsidialverfügung vom 4. Oktober 2010 wurde die Bundesanwaltschaft auf die Möglichkeit der Anklageergänzung in Sachen gegen A. hingewiesen (cl. 73 pag. 73.430.3). Mit Eingabe vom 15. Oktober 2010 reichte die Bundesanwalt- schaft die Ergänzung der Anklageschrift vom 31. März 2008 ein (cl. 73 pag. 73.110.3 ff.). L. Mit Eingabe vom 17. März 2011 reichte die Bundesanwaltschaft eine zusätzliche Ergänzung der Anklageschrift ein (cl. 73 pag. 73.110.7–8). M. Am 12. Januar und am 31. Januar 2011 verfügte die Einzelrichterin über die Be- weismassnahmen und hiess u.a. die Gesuche der Verteidigung, G., H. sowie I. als Zeugen zu vernehmen, gut (c. 73. pag. 73.430.4-5). Nach mehrfachen erfolglosen Zustellungsversuchen der Vorladung an die letztbekannte Adresse stellte sich heraus, dass G. am 18. Juli 2010 ausgewandert und nach Algerien ausgereist ist (cl. 73 pag. 73.851.10). Das Gericht verzichtete auf dessen Einvernahme (cl. 73 pag. 73.430.17). N. Am 22. und 23. März 2011 fand die Hauptverhandlung am Sitz des Bundesstraf- gerichts statt. Am 22. März 2011 ergänzte die Bundesanwaltschaft die Anklage- schrift weiter (cl. 73 pag. 73.910.3). Es fanden die Einvernahmen der Zeugen H. und I. statt (cl. 73 pag. 73.910.24–32).</w:t>
      </w:r>
    </w:p>
    <w:p>
      <w:r>
        <w:t>- 6 - Die Strafkammer erwägt: I.</w:t>
      </w:r>
    </w:p>
    <w:p>
      <w:r>
        <w:t>Anwendbares Prozessrecht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