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SK.2009.9 vom 8. September 2009</w:t>
      </w:r>
    </w:p>
    <w:p>
      <w:r>
        <w:t>Bundesstrafgericht, 2009-09-08, DE</w:t>
      </w:r>
    </w:p>
    <w:p>
      <w:r>
        <w:rPr>
          <w:b/>
        </w:rPr>
        <w:t xml:space="preserve">Quelle: </w:t>
      </w:r>
      <w:r>
        <w:t>https://mcp.opencaselaw.ch/entscheid/bstger_SK.2009.9</w:t>
      </w:r>
    </w:p>
    <w:p>
      <w:r>
        <w:t>FR: TPF SK.2009.9 du 8 septembre 2009</w:t>
      </w:r>
    </w:p>
    <w:p>
      <w:r>
        <w:t>IT: TPF SK.2009.9 del 8 settembre 2009</w:t>
      </w:r>
    </w:p>
    <w:p>
      <w:pPr>
        <w:pStyle w:val="Heading2"/>
      </w:pPr>
      <w:r>
        <w:t>Regeste</w:t>
      </w:r>
    </w:p>
    <w:p>
      <w:r>
        <w:t>Mehrfache qualifizierte Widerhandlung gegen das BetmG (Art. 19 Ziff. 1 Abs. 4-6 BetmG i.V.m. Art. 19 Ziff. 2 lit. a BetmG), mehrfacher Verweisungsbruch (Art. 291 StGB), mehrfaches Vergehen gegen das ANAG (Art. 23 Abs. 1 al. 4 ANAG i.V.m. Art. 126 Abs. 4 AuG); Widerruf (Art. 46 StGB).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wird der mehrfachen qualifizierten und der mehrfachen einfachen Widerhandlung gegen das Betäubungsmittelgesetz im Sinne von Art. 19 Ziff. 1 Abs. 4-6, teilweise i.V.m. Art. 19 Ziff. 2 lit. a BetmG, sowie des mehrfachen Verweisungsbruchs im Sinne von Art. 291 Abs. 1 StGB schuldig gesprochen.</w:t>
      </w:r>
    </w:p>
    <w:p>
      <w:r>
        <w:rPr>
          <w:b/>
        </w:rPr>
        <w:t>E. 2</w:t>
      </w:r>
    </w:p>
    <w:p>
      <w:r>
        <w:t>A. wird bestraft mit 4 ½ Jahren Freiheitsstrafe, unter Anrechnung der ausgestande- nen Untersuchungshaft von 896 Tagen, vollziehbar durch den Kanton Zürich.</w:t>
      </w:r>
    </w:p>
    <w:p>
      <w:r>
        <w:rPr>
          <w:b/>
        </w:rPr>
        <w:t>E. 3</w:t>
      </w:r>
    </w:p>
    <w:p>
      <w:r>
        <w:t>Der A. unter dem Namen B. mit Urteil des Bezirksgerichts Zürich vom 31. März 2004 (Verf.-Nr. 1) für eine Gefängnisstrafe von 150 Tagen, unter Anrechnung der Untersu- chungshaft von 63 Tagen, gewährte bedingte Strafvollzug wird widerrufen. Mit dem Vollzug wird der Kanton Zürich betraut.</w:t>
      </w:r>
    </w:p>
    <w:p>
      <w:r>
        <w:rPr>
          <w:b/>
        </w:rPr>
        <w:t>E. 4</w:t>
      </w:r>
    </w:p>
    <w:p>
      <w:r>
        <w:t>Das bei A. sichergestellte und bei der Bundeskriminalpolizei aufbewahrte Bargeld in Höhe von Fr. 2'940.– wird in Anwendung von Art. 59 Ziff. 1 Abs. 1 aStGB eingezogen.</w:t>
      </w:r>
    </w:p>
    <w:p>
      <w:r>
        <w:rPr>
          <w:b/>
        </w:rPr>
        <w:t>E. 5</w:t>
      </w:r>
    </w:p>
    <w:p>
      <w:r>
        <w:t>Die folgenden beschlagnahmten Gegenstände werden - in Anwendung von Art. 58 Abs. 1 aStGB zur gut scheinenden Verwendung einge- zogen: • Mobiltelefon Nokia samt SIM-Karte Sunrise Nr. 2 (Ziff. III. 2. der Anklage- schrift) - in Anwendung von Art. 58 Abs. 1 und 2 aStGB eingezogen und vernichtet: • Total gefälschte Unterlagen lautend auf C. (Britischer Reisepass, Driving Licence und MasterCard; Ziff. III. 1. der Anklageschrift), • Zigarettenpäckchen Parisienne mit Alufolien und Minigrip-Säckchen und deren Inhalt (Ziff. III. 5. der Anklageschrift), • die mit bundesanwaltschaftlicher Verfügung vom 18. Januar 2007 zu- sätzlich beschlagnahmten Gegenstände (Ziff. III. 6. der Anklageschrift); - verbleiben bei den Akten: • mit bundesanwaltschaftlicher Verfügung vom 18. Januar 2007 be- schlagnahmte „diverse Notizen“ und der Notizzettel mit Aufschrift D. (Ziff. III. 3. der Anklageschrift);</w:t>
      </w:r>
    </w:p>
    <w:p>
      <w:r>
        <w:t>- 3 - - der E. zurückgegeben: • Mietvertrag E. – F. vom 1. Juni 1993 betreffend Familienwohnung an der Strasse Z. in Y., samt Schlüssel (Ziff. III. 4. der Anklageschrift).</w:t>
      </w:r>
    </w:p>
    <w:p>
      <w:r>
        <w:rPr>
          <w:b/>
        </w:rPr>
        <w:t>E. 6</w:t>
      </w:r>
    </w:p>
    <w:p>
      <w:r>
        <w:t>Die Verfahrenskosten betragen:</w:t>
      </w:r>
    </w:p>
    <w:p>
      <w:r>
        <w:t>Fr. 12'000.00 Gebühr für die Ermittlungen Fr. 4'000.00 Gebühr für die Voruntersuchung Fr. 3'000.00 Gebühr für die Anklageerhebung und -vertretung Fr. 3'000.00 Gerichtsgebühr Fr. 109’933.75 Auslagen Bundesanwaltschaft Fr. 85’660.00 Auslagen Eidg. Untersuchungsrichteramt Fr. 217’593.75 Total</w:t>
      </w:r>
    </w:p>
    <w:p>
      <w:r>
        <w:t>Davon werden A. Fr. 40'000.– auferlegt, welche an die Kasse des Bundesstraf- gerichts zu bezahlen sind.</w:t>
      </w:r>
    </w:p>
    <w:p>
      <w:r>
        <w:rPr>
          <w:b/>
        </w:rPr>
        <w:t>E. 7</w:t>
      </w:r>
    </w:p>
    <w:p>
      <w:r>
        <w:t>Über die Höhe des Honorars von Rechtsanwältin Jana Hrebik für die amtliche Vertei- digung in diesem Verfahren sowie eine diesbezügliche allfällige Ersatzpflicht von A. gegenüber der Kasse des Bundesstrafgerichts wird separat entschieden.</w:t>
      </w:r>
    </w:p>
    <w:p>
      <w:r>
        <w:t>Dieser Entscheid wird in der Hauptverhandlung eröffnet und durch den Vorsitzen- den mündlich begründet. Den Parteien wird das Urteilsdispositiv ausgehändigt.</w:t>
      </w:r>
    </w:p>
    <w:p>
      <w:r>
        <w:t>Im Namen der Strafkammer des Bundesstrafgerichts</w:t>
      </w:r>
    </w:p>
    <w:p>
      <w:r>
        <w:t>Der Vorsitzende Der Gerichtsschreiber</w:t>
      </w:r>
    </w:p>
    <w:p>
      <w:r>
        <w:t>- 4 - Nach Eintritt der Rechtskraft mitzuteilen an: - Bundesanwaltschaft als Vollzugsbehörde (Dispositiv)</w:t>
      </w:r>
    </w:p>
    <w:p>
      <w:r>
        <w:t>Die Parteien haben nach der mündlichen Eröffnung und Begründung des Entscheids vom 8. September 2009 auf die Beschwerde in Strafsachen an die Strafrechtliche Abtei- lung des Bundesgerichts verzichtet. Der Entscheid wird daher ohne schriftliche Begrün- dung ausgefertigt.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