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 vom 23. April 2009</w:t>
      </w:r>
    </w:p>
    <w:p>
      <w:r>
        <w:t>Bundesstrafgericht, 2009-04-23, DE</w:t>
      </w:r>
    </w:p>
    <w:p>
      <w:r>
        <w:rPr>
          <w:b/>
        </w:rPr>
        <w:t xml:space="preserve">Quelle: </w:t>
      </w:r>
      <w:r>
        <w:t>https://mcp.opencaselaw.ch/entscheid/bstger_SK.2009.1</w:t>
      </w:r>
    </w:p>
    <w:p>
      <w:r>
        <w:t>FR: TPF SK.2009.1 du 23 avril 2009</w:t>
      </w:r>
    </w:p>
    <w:p>
      <w:r>
        <w:t>IT: TPF SK.2009.1 del 23 aprile 2009</w:t>
      </w:r>
    </w:p>
    <w:p>
      <w:pPr>
        <w:pStyle w:val="Heading2"/>
      </w:pPr>
      <w:r>
        <w:t>Regeste</w:t>
      </w:r>
    </w:p>
    <w:p>
      <w:r>
        <w:t>Beteiligung an bzw. Unterstützung einer kriminellen Organisation (Art. 260ter StGB), Geldwäscherei (Art. 305bis Ziff. 2 StGB)</w:t>
      </w:r>
    </w:p>
    <w:p>
      <w:pPr>
        <w:pStyle w:val="Heading2"/>
      </w:pPr>
      <w:r>
        <w:t>Erwägungen</w:t>
      </w:r>
    </w:p>
    <w:p>
      <w:r>
        <w:rPr>
          <w:b/>
        </w:rPr>
        <w:t>E. 1</w:t>
      </w:r>
    </w:p>
    <w:p>
      <w:r>
        <w:t>Das Strafverfahren gegen A. wegen Beteiligung an beziehungsweise Unterstützung einer kriminellen Organisation sowie Geldwäscherei wird eingestellt.</w:t>
      </w:r>
    </w:p>
    <w:p>
      <w:r>
        <w:rPr>
          <w:b/>
        </w:rPr>
        <w:t>E. 2</w:t>
      </w:r>
    </w:p>
    <w:p>
      <w:r>
        <w:t>Die auf den Verstorbenen entfallenden Verfahrenskosten gehen zu Lasten der Eid- genossenschaft.</w:t>
      </w:r>
    </w:p>
    <w:p>
      <w:r>
        <w:rPr>
          <w:b/>
        </w:rPr>
        <w:t>E. 3</w:t>
      </w:r>
    </w:p>
    <w:p>
      <w:r>
        <w:t>Über die Höhe dieser Kosten wird im Hauptverfahren SK.2008.18 entschieden.</w:t>
      </w:r>
    </w:p>
    <w:p>
      <w:r>
        <w:rPr>
          <w:b/>
        </w:rPr>
        <w:t>E. 4</w:t>
      </w:r>
    </w:p>
    <w:p>
      <w:r>
        <w:t>Das amtliche Verteidigermandat von Rechtsanwalt Robert Vogel wird per Entscheid- datum aufgelöst.</w:t>
      </w:r>
    </w:p>
    <w:p>
      <w:r>
        <w:rPr>
          <w:b/>
        </w:rPr>
        <w:t>E. 5</w:t>
      </w:r>
    </w:p>
    <w:p>
      <w:r>
        <w:t>Rechtsanwalt Robert Vogel wird eine Akontozahlung von Fr. 30'000.– ausbezahlt.</w:t>
      </w:r>
    </w:p>
    <w:p>
      <w:r>
        <w:rPr>
          <w:b/>
        </w:rPr>
        <w:t>E. 6</w:t>
      </w:r>
    </w:p>
    <w:p>
      <w:r>
        <w:t>Die Festsetzung des definitiven Honorars des amtlichen Verteidigers erfolgt nach dem instanzabschliessenden Entscheid im Hauptverfahren SK.2008.18.</w:t>
      </w:r>
    </w:p>
    <w:p>
      <w:r>
        <w:rPr>
          <w:b/>
        </w:rPr>
        <w:t>E. 7</w:t>
      </w:r>
    </w:p>
    <w:p>
      <w:r>
        <w:t>Die Kosten für die amtliche Verteidigung gehen zulasten der Eidgenossenschaft.</w:t>
      </w:r>
    </w:p>
    <w:p>
      <w:r>
        <w:rPr>
          <w:b/>
        </w:rPr>
        <w:t>E. 8</w:t>
      </w:r>
    </w:p>
    <w:p>
      <w:r>
        <w:t>Dieser Entscheid wird den Parteien eröffnet sowie den Verteidigern der Angeklagten im Hauptverfahren SK.2008.18 zur Kenntnis mitgeteilt.</w:t>
      </w:r>
    </w:p>
    <w:p>
      <w:r>
        <w:t>Im Namen der Strafkammer des Bundesstrafgerichts Der Präsident Die Gerichtsschreiberin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