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SK.2008.15 vom 13. November 2008</w:t>
      </w:r>
    </w:p>
    <w:p>
      <w:r>
        <w:t>Bundesstrafgericht, 2008-11-13, DE</w:t>
      </w:r>
    </w:p>
    <w:p>
      <w:r>
        <w:rPr>
          <w:b/>
        </w:rPr>
        <w:t xml:space="preserve">Quelle: </w:t>
      </w:r>
      <w:r>
        <w:t>https://mcp.opencaselaw.ch/entscheid/bstger_SK.2008.15</w:t>
      </w:r>
    </w:p>
    <w:p>
      <w:r>
        <w:t>FR: TPF SK.2008.15 du 13 novembre 2008</w:t>
      </w:r>
    </w:p>
    <w:p>
      <w:r>
        <w:t>IT: TPF SK.2008.15 del 13 novembre 2008</w:t>
      </w:r>
    </w:p>
    <w:p>
      <w:pPr>
        <w:pStyle w:val="Heading2"/>
      </w:pPr>
      <w:r>
        <w:t>Regeste</w:t>
      </w:r>
    </w:p>
    <w:p>
      <w:r>
        <w:t>Urkundenfälschung im Amt, mehrfache Urkundenfälschung, mehrfacher Steuerbetrug und mehrfacher Betrug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wird freigesprochen − vom Vorwurf der Urkundenfälschung im Amt im Sinne von Art. 317 Ziff. 1 Abs. 1 StGB gemäss Ziff. 1 der Anklageschrift beziehungsweise der Urkundenfälschung im Sinne von Art. 251 Ziff. 1 Abs. 1 und 2 gemäss Ziff. 2a der Anklageschrift.</w:t>
      </w:r>
    </w:p>
    <w:p>
      <w:r>
        <w:rPr>
          <w:b/>
        </w:rPr>
        <w:t>E. 2</w:t>
      </w:r>
    </w:p>
    <w:p>
      <w:r>
        <w:t>A. wird schuldig gesprochen − der mehrfachen Urkundenfälschung im Sinne von Art. 251 Ziff. 1 Abs. 1 und 2 StGB gemäss Ziff. 2b-h der Anklageschrift, − des mehrfachen Steuerbetrugs im Sinne von Art. 223 Abs. 1 StG/BE und Art. 186 Abs. 1 DBG gemäss Ziff. 3a-f der Anklageschrift und − des mehrfachen Betrugs im Sinne von Art. 146 Abs. 1 StGB gemäss Ziff. 4a+b der Anklageschrift.</w:t>
      </w:r>
    </w:p>
    <w:p>
      <w:r>
        <w:rPr>
          <w:b/>
        </w:rPr>
        <w:t>E. 3</w:t>
      </w:r>
    </w:p>
    <w:p>
      <w:r>
        <w:t>A. wird für das kantonale Steuerdelikt zu einer Geldstrafe von 70 Tagessätzen zu Fr. 180.– verurteilt und in Anwendung von Art. 188 Abs. 3 DBG zu einer Gesamtzu- satzgeldstrafe von 210 Tagessätzen zu Fr. 180.–, bedingt vollziehbar bei einer Pro- bezeit von zwei Jahren, unter Anrechnung der ausgestandenen Untersuchungshaft von drei Tagen.</w:t>
      </w:r>
    </w:p>
    <w:p>
      <w:r>
        <w:rPr>
          <w:b/>
        </w:rPr>
        <w:t>E. 4</w:t>
      </w:r>
    </w:p>
    <w:p>
      <w:r>
        <w:t>A. werden an Kosten auferlegt: Fr. 3’000.00 Gebühr Bundesanwaltschaft für die Ermittlung Fr. 2'000.00 Gebühr Bundesanwaltschaft für die Anklage Fr. 3’000.00 Gebühr Eidg. Untersuchungsrichteramt Fr. 842.85 Auslagen Bundesanwaltschaft Fr. 1’000.00 Gerichtsgebühr Fr. 9’842.85 Total</w:t>
      </w:r>
    </w:p>
    <w:p>
      <w:r>
        <w:t>- 3 -</w:t>
      </w:r>
    </w:p>
    <w:p>
      <w:r>
        <w:t>II. Dieser Entscheid wird in der Hauptverhandlung eröffnet und durch den Einzelrich- ter mündlich begründet.</w:t>
      </w:r>
    </w:p>
    <w:p>
      <w:r>
        <w:t>Im Namen der Strafkammer des Bundesstrafgerichts Der Einzelrichter Die Gerichtsschreiberin Nach Eintritt der Rechtskraft mitzuteilen an: - Bundesanwaltschaft als Vollzugsbehörde (vollständig)</w:t>
      </w:r>
    </w:p>
    <w:p>
      <w:r>
        <w:t>Die Parteien haben nach der mündlichen Eröffnung und Begründung des Entscheids vom 13. November 2008 auf die Beschwerde in Strafsachen an die Strafrechtliche Abtei- lung des Bundesgerichts verzichtet. Der Entscheid wird daher ohne schriftliche Begrün- dung ausgefertigt.</w:t>
      </w:r>
    </w:p>
    <w:p>
      <w:r>
        <w:t>Der Entscheid ist rechtskräftig.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