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SK.2007.18 vom 16. September 2008</w:t>
      </w:r>
    </w:p>
    <w:p>
      <w:r>
        <w:t>Bundesstrafgericht, 2008-09-16, DE</w:t>
      </w:r>
    </w:p>
    <w:p>
      <w:r>
        <w:rPr>
          <w:b/>
        </w:rPr>
        <w:t xml:space="preserve">Quelle: </w:t>
      </w:r>
      <w:r>
        <w:t>https://mcp.opencaselaw.ch/entscheid/bstger_SK.2007.18</w:t>
      </w:r>
    </w:p>
    <w:p>
      <w:r>
        <w:t>FR: TPF SK.2007.18 du 16 septembre 2008</w:t>
      </w:r>
    </w:p>
    <w:p>
      <w:r>
        <w:t>IT: TPF SK.2007.18 del 16 settembre 2008</w:t>
      </w:r>
    </w:p>
    <w:p>
      <w:pPr>
        <w:pStyle w:val="Heading2"/>
      </w:pPr>
      <w:r>
        <w:t>Regeste</w:t>
      </w:r>
    </w:p>
    <w:p>
      <w:r>
        <w:t>Qualifizierte Widerhandlungen gegen die Betäubungsmittelgesetzgebung Art. 19 Ziff. 1, 2 und Anstiftung zu falschem Zeugnis Art. 307 i.V.m. Art. 24 StGB</w:t>
      </w:r>
    </w:p>
    <w:p>
      <w:pPr>
        <w:pStyle w:val="Heading2"/>
      </w:pPr>
      <w:r>
        <w:t>Erwägungen</w:t>
      </w:r>
    </w:p>
    <w:p>
      <w:r>
        <w:rPr>
          <w:b/>
        </w:rPr>
        <w:t>E. 5</w:t>
      </w:r>
    </w:p>
    <w:p>
      <w:r>
        <w:t>A. werden an Kosten auferlegt, welche an die Kasse des Bundesstrafgerichts zu bezahlen sind: (….) Fr. 168’253.75 Total</w:t>
      </w:r>
    </w:p>
    <w:p>
      <w:r>
        <w:rPr>
          <w:b/>
        </w:rPr>
        <w:t>E. 5.1</w:t>
      </w:r>
    </w:p>
    <w:p>
      <w:r>
        <w:t>Gemäss Art. 59 Ziff. 1 Abs. 1 aStGB hat das Gericht die Einziehung von Vermö- genswerten zu verfügen, die durch eine strafbare Handlung erlangt worden sind oder dazu bestimmt waren, eine strafbare Handlung zu veranlassen oder zu be- lohnen, sofern sie nicht dem Verletzten zur Wiederherstellung des rechtmässigen Zustandes ausgehändigt werden. Eine Straftat im Sinne von Art. 59 Ziff. 1 aStGB ist nur gegeben, wenn der Tatbestand in objektiver sowie subjektiver Hinsicht er- füllt ist; insbesondere Vorsatz ist unabdingbar, nur das Verschulden ist entbehr- lich (BGE 129 IV 305 E. 4.2.1 S. 310). Nach Abs. 2 der erwähnten Bestimmung ist die Einziehung ausgeschlossen, wenn ein Dritter die Vermögenswerte in Un- kenntnis der Einziehungsgründe erworben hat und soweit er für sie eine gleich-</w:t>
      </w:r>
    </w:p>
    <w:p>
      <w:r>
        <w:t>- 42 - wertige Gegenleistung erbracht hat oder die Einziehung ihm gegenüber sonst ei- ne unverhältnismässige Härte darstellen würde. Schliesslich hat das Gericht nach Art. 59 Ziff. 2 Abs. 1 aStGB dann, wenn die der Einziehung unterliegenden Vermögenswerte nicht mehr vorhanden sind, auf eine Ersatzforderung des Staa- tes in gleicher Höhe zu erkennen. Nach Art. 59 Ziff. 4 aStGB kann der Umfang der einzuziehenden Vermögenswerte richterlich geschätzt werden, wenn er nicht oder nur mit unverhältnismässigem Aufwand ermittelt werden kann. Gleiches muss für die Ersatzforderung gelten, die an Stelle nicht mehr vorhandener, der Einziehung unterliegender Vermögenswerte festzusetzen ist. Die seit 1. Januar 2007 geltenden Bestimmungen von Art. 70 f. StGB sind nicht milder, sodass das zur Tatzeit geltende Recht anzuwenden ist (Art. 2 Abs. 2 StGB, Ziff. 2 Abs. 1 der Schlussbestimmungen der Änderung vom 13. Dezember 2002 e contrario).</w:t>
      </w:r>
    </w:p>
    <w:p>
      <w:r>
        <w:rPr>
          <w:b/>
        </w:rPr>
        <w:t>E. 5.2</w:t>
      </w:r>
    </w:p>
    <w:p>
      <w:r>
        <w:t>Das Bundesgericht führte im Rückweisungsentscheid vom 4. Juli 2007 (E. 4.2) aus, das Bundesstrafgericht habe verbindlich festgestellt, dass der Verkauf der Amphetamintabletten und damit ein Verkaufserlös nicht erwiesen seien. Das Bundesgericht hielt fest, dass aus diesem Freispruch vom Vorwurf des Betäu- bungsmittelverkaufs nur folge, dass die Einziehung von angeblich aus dem Ver- kauf stammenden Vermögenswerten ausser Betracht falle. Die Vorinstanz sei in- des zum Schluss gekommen, dass durch die unbewilligte Produktion von 306 kg Amphetaminsulfat der Tatbestand von Art. 19 Ziff. 1 Abs. 2 BetmG in der Form des Herstellens erfüllt und dass zur Herstellung weiterer 225 kg reinen Amphe- taminsulfats Anstalten getroffen worden seien. Ferner habe sie dem Angeklagten im Rahmen der Strafzumessung Profitsucht vorgeworfen mit der Begründung, die produzierte Tablettenmenge hätte für den Produzenten einen geschätzten Brut- toerlös von 2-4 Mio. Franken eingebracht; dieser Wert entspreche – gemäss Be- gründung im angefochtenen Entscheid – in etwa dem Betrag (ca. 2,3 Mio. Fran- ken), der dem Angeklagten im fraglichen Zeitraum zugeflossen sei. Auch das Bundesstrafgericht gehe davon aus, dass der vom Angeklagten realisierte Ver- mögensvorteil unmittelbare Folge der illegalen Betäubungsmittelproduktion sei. Das Bundesgericht folgert daraus, dass vor diesem Hintergrund die Vermögens- werte als durch eine Straftat erlangt zu gelten haben und das Bundesstrafgericht auf deren Einziehung oder auf eine Ersatzforderung hätte erkennen müssen.</w:t>
      </w:r>
    </w:p>
    <w:p>
      <w:r>
        <w:rPr>
          <w:b/>
        </w:rPr>
        <w:t>E. 5.3</w:t>
      </w:r>
    </w:p>
    <w:p>
      <w:r>
        <w:t>Die Strafkammer stellte im Entscheid vom 5. Juli 2006 fest (E. 2.3.1, S. 17, 21), dass in den Räumen der D. AG bzw. im dortigen Labor „… total 306 kg Amphe- tamin hergestellt und Vorbereitungen zur Herstellung weiterer 225 kg Ampheta- min getroffen worden sind …“ und führte aus, dass „...laut dem gerichtlichen Sachverständigen mit den 306 kg Amphetaminsulfat aus dem 1. und 2. Produkti- onszyklus 20’400'000 Tabletten [hätten] hergestellt werden können…“. Und wei- ter hielt die Strafkammer fest (E. 2.4.1 lit. a und b, S. 22): „Durch die unbewilligte Produktion von 306 kg Amphetaminsulfat ist der Tatbestand von Art. 19 Ziff. 1</w:t>
      </w:r>
    </w:p>
    <w:p>
      <w:r>
        <w:t>- 43 - Abs. 2 BetmG in der Form des Herstellens erfüllt worden. … Durch die Bereitstel- lung von Ausgangssubstanzen und die Durchführung chemischer Prozesse ab anfangs April 2000, nach gleicher Methode wie bereits vorher durchgeführt, ist die Produktion von Amphetaminsulfat eingeleitet worden. Es wäre zwar möglich gewesen, sie abzubrechen, bevor erste Quantitäten der strafrechtlich verpönten Substanz anfielen. Die tatbestandsmässige Herstellung von 225 kg Amphetamin- sulfat wurde damit noch nicht versucht, aber nach aussen wahrnehmbar und zweckgerichtet vorbereitet. Dies bedeutet Anstaltentreffen.“ Die Strafkammer hielt ferner fest, dass bei der Durchsuchung vom 26. April 2000 auf dem Areal der D. AG ca. 26'026 Amphetamintabletten und ca. 3200 g amphetaminhaltiges Pulver sichergestellt und beschlagnahmt worden sind (Sachverhalt lit. A und E. 2.3.1 S. 13). Es kann ausgeschlossen werden, dass diese Vermögenswerte, also das produzierte Amphetamin und die beschlagnahmten Tabletten bzw. das Pul- ver, noch vorhanden sind. Es ist daher auf eine Ersatzforderung zu erkennen, zumal die Einziehung eines Verkaufserlöses, wie erwähnt, ausser Betracht fällt.</w:t>
      </w:r>
    </w:p>
    <w:p>
      <w:r>
        <w:rPr>
          <w:b/>
        </w:rPr>
        <w:t>E. 5.4</w:t>
      </w:r>
    </w:p>
    <w:p>
      <w:r>
        <w:t>Mit Bezug auf den Wert der produzierten Stoffe hielt die Strafkammer im erwähn- ten Entscheid fest (E. 3.3.2, S. 29 f.): „…Davon ausgehend, dass sich der Ertrag für den Produzenten in einem Fall wie dem vorliegenden schätzungsweise aller- mindestens auf 2 % des Endverkaufspreises belaufen dürfte, hätte die produzier- te Tablettenmenge nur schon bei einem im internationalen Vergleich günstigen Verkaufspreis auf der Gasse in der Schweiz von zwischen Fr. 5.─ bis Fr. 10.─ pro Tablette (vgl. pag. 6.2.11) für den Produzenten einen Bruttoerlös von zwi- schen Fr. 2'040'000.─ bis Fr. 4'080'000.─ eingebracht (gemäss Aussagen von DD., pag. 3.1.27, werden für eine amphetaminhaltige Tablette auf dem griechi- schen Drogenmarkt zwischen 3'000 bis 5'000 Drachmen bezahlt, also zwischen ca. Fr. 14.─ und Fr. 23.─; gemäss Gutachten des gerichtlichen Sachverständigen liegt der Verkaufspreis in den USA zwischen USD 20 bis 25, also ca. Fr. 24.─ bis Fr. 31.─; pag. 6.2.11). Dieser Wert entspricht übrigens in etwa dem Betrag von USD 1'870'000 (= ca. Fr. 2'307'000), der gemäss Gutachten der Finanzexperten in Form von Devisen- und Checkeingängen im fraglichen Zeitraum dem Ange- klagten zufloss (pag. 9.1.14 ff.; vgl. auch pag. 16.2.12 ff.). Zudem beabsichtigte der Angeklagte für den Verkauf von [1,5 Mio., vgl. E. 2.2.1 S. 11 f.] Amphetamin- tabletten an EE. USD 400'000 (= Fr. 654'120.─, bei einem Wechselkurs per 5. Februar 2000, dem Vertragsdatum) einzunehmen …“. Ausgangspunkt für die Schätzung des an sich einziehbaren Vermögenswerts bzw. der Ersatzforderung bilden indes nicht die erwähnten Finanztransaktionen, sondern die produzierte Menge Amphetamin bzw. die damit herstellbare Anzahl Amphetamintabletten. Im angefochtenen Entscheid ging die Strafkammer einer- seits von einem tiefstmöglichen Bruttoerlös aus, anderseits von einem im interna- tionalen Vergleich günstigen Gassenpreis in der Schweiz. Nachdem nichts dafür</w:t>
      </w:r>
    </w:p>
    <w:p>
      <w:r>
        <w:t>- 44 - spricht, dass ein Verkauf in der Schweiz vorgesehen war, kann ebenso gut vom griechischen oder vom US-amerikanischen Gassenpreis ausgegangen werden. Der Bruttoerlös beträgt bei einem Absatz in Griechenland Fr. 5'712'000.– bis Fr. 9'384'000.– (= 20'400'000 x 14 [bzw. 23] x 2%) und bei einem Absatz in den USA Fr. 9'792'000.– bis Fr. 12'648'000.– (= 20'400'000 x 24 [bzw. 31] x 2%). Da das Bestimmungsland der Drogen indes nicht feststeht, wird zu Gunsten des An- geklagten der mögliche Bruttoerlös anhand einer Anzahl von abgerundet 20 Mio. Amphetamintabletten auf der Basis eines Absatzes in der Schweiz geschätzt. Dieser beträgt mithin mindestens Fr. 2'000'000.– und höchstens Fr. 4'000'000.– (= 20'000'000 x 5 [bzw. 10] x 2%). Ausgehend von einem Bruttoerlös von 2 Mio. Franken und einer Gewinnmarge von 50 % 1), 2), 3), was bei einem Unternehmen ohne Forschungsaufwand 4), 5), Vertriebsinfrastruktur, Werbeaufwand 6) etc. sowie praktisch ohne Personal- und Verwaltungsaufwand (SK.2006.5 Kanzleidossier, HV-Einvernahmeprotokoll [pag. 1.600.1], S. 9 Z. 43) gerechtfertigt scheint, ergibt sich demnach, dass durch die kriminelle Herstellung von Amphetamin ein Mehr- wert auf Produzentenstufe von mindestens 1 Mio. Franken geschaffen wurde.</w:t>
      </w:r>
    </w:p>
    <w:p>
      <w:r>
        <w:t>1) Roche Medienorientierung, Basel 30.03.2000: „Die EBITDA-Marge und die operative Verkaufs- marge erhöhten sich je um rund 0,5 Prozentpunkte auf 27 % beziehungsweise 18 %“ [EBITDA = Earnings Before Interest, Tax, Depreciation and Amortisation; diese Kennzahl entspricht dem Be- triebsgewinn vor Abschreibung auf Sachanlagen und Amortisation des immateriellen Anlagevermö- gens], unter http://www.roche.com/DE/media-news-2000-03-30-d.pdf bzw. Roche - Corporate Me- dia News, Annual Media Conference, Basel, 30.03.2000: „The EBITDA margin increased 0.5 per- centage points to roughly 27%; net income and operating profit as a percentage of sales both rea- ched 18%, despite high additional expenditures for marketing and distribution“, unter http://www.roche.com/static/app/news/media-news-2000-03-30-2-e.pdf; Roche, Bilanz-Medienkon- ferenz, Basel 30.01.2008: „Die Betriebsgewinnmarge des Konzerns stieg so stark wie noch nie, und zwar um 3,5 Prozentpunkte auf 31,4%“, unter http://www.roche.com/de/med-cor-2008-01-30b 2) Bayer Bilanz-Pressekonferenz, Wenning: 2007 war das bisher erfolgreichste Jahr für Bayer, 28.02.2008: „Bereinigte EBITDA-Marge bei 20,9 Prozent“, unter http://www.viva.vita.bayerhealthca- re.de/index.php?id=385&amp;tx_ttnews%5Btt_news%5D=12252&amp;tx_ttnews%5BbackPid%5D=385&amp;cHa sh=fd3e00ef89, ebenso Bayer-Geschäftsbericht 2007 S. 28, unter http://www.viva.vita.bayerhealth- care.de/uploads/tx_csrbayernews/bayer_geschaeftsbericht_2007.pdf; 3) Werner Hoffmann/Peter Roventa/Dietrich Weichsel, Pharma-Industrie: Kommt der Mittelstand un- ter die Räder?, 08.12.2003, S. 8: „Die größenbedingten Vorteile der dominierenden Pharma-Unter- nehmen haben sich auch in einer nachhaltig höheren operativen Ertragskraft niedergeschlagen. In einer Vergleichsstudie wurde für die Jahre 1990 und 2000 ein Anstieg der operativen Marge der fünf größten Pharma-Unternehmen um 1 %-Punkt auf 26,7 % des Umsatzes nachgewiesen“, unter http://www.corfina.de/downloads/Kurzfassung-Ho-Ro-Wei-Pharmaindustrie_Kommt_der_Mittel- stand-050104.pdf; 4) SGCI Generalversammlung 1999, Präsidialansprache Dr. Rolf W. Schweizer, Basel 18.06.1999: „Die Forschungsausgaben in Prozent vom Umsatz betragen bei uns 10% im Vergleich zu 8% in Japan und 6% in Deutschland und in den USA“, unter http://www.sgci.ch/plugin/templa- te/sgci/159/3237/---/Pr%E4sidialansprache+von+Dr.+Rolf+W.+Schweizer,+GV+1999+(DE)+ (Inter- net+Artikel+(SGCI+Exporter)); 5) GlaxoSmithKline Pharma GmbH, Wien, Factsheet vom 28.03.2008: „Für F&amp;E [Forschung &amp; Ent- wicklung] haben wir im Jahr 2007 rund 4,21 Mio. € ausgegeben, das sind ca. 15 % vom Umsatz“, unter http://www.glaxosmithkline.at/common/pdf/factsheet08.pdf; 6) Peter Roventa/Johannes Weber/Dietrich Weichsel, Pharma-Mittelstand: wohin geht die Reise?, 2006, S. 12: „Eine Markteinführungskampagne über Fernsehspots schlägt im ersten Jahr mit min- destens 5-10 Mio. Euro zu Buche. Allein die 10 führenden OTC-Hersteller setzten bereits im Jahr 2003 rund 100 Mio. Euro für Werbung ein und erzeugen so hohen Werbedruck – auch für den Mit- bewerb. Damit sich solcher Werbeaufwand trägt, bedarf es naturgemäß beachtlicher Umsätze. Hersteller, die sich bereits in der Vergangenheit eine bekannte Marke aufgebaut haben und über</w:t>
      </w:r>
    </w:p>
    <w:p>
      <w:r>
        <w:t>- 45 - entsprechende Vertriebsstärke verfügen wie Hermes, Togal, Renschler oder Klosterfrau haben hier sicher die bessere Ausgangsposition, um weiteres Wachstum zu generieren“, unter http://www.corfina.de/downloads/Pharmamittelstand-180606.pdf</w:t>
      </w:r>
    </w:p>
    <w:p>
      <w:r>
        <w:rPr>
          <w:b/>
        </w:rPr>
        <w:t>E. 5.5</w:t>
      </w:r>
    </w:p>
    <w:p>
      <w:r>
        <w:t>Da der Vermögenswert formell bei der Herstellerfirma und nicht beim Angeklag- ten angewachsen ist, ist Letzterer im Umfang seiner Beteiligung bereichert. Aus diesem Grund muss auch, anders als nach herrschender Praxis bei direktem Vermögenszuwachs (vgl. BGE 124 I 6 E. 4b/bb), der Nettoproduktionswert, nicht der Bruttowarenwert massgeblich sein. Nachdem der Angeklagte nirgends eine kleinere als hälftige Beteiligung geltend gemacht hat, ist diese mit 50 % zu ver- anschlagen (HV-Einvernahmeprotokoll S. 4 Z. 30-36; SK.2006.5 Kanzleidossier, HV-Einvernahmeprotokoll [pag. 1.600.1], S. 4 Z. 37, S. 5 Z. 41, S. 6 Z. 4, S. 8 Z. 30 ff.; SCHMID, in: SCHMID [Hrsg.], Einziehung, Organisiertes Verbrechen, Geldwäscherei, Kommentar, Bd. I, 2. Aufl., Zürich 2007, StGB 70-72 N. 106). Es kann keine Solidarhaftung mit dem andern Beteiligten begründet werden (SCHMID, a.a.O., StGB 70-72 N. 111). Die Ersatzforderung gegen den Angeklag- ten ist somit auf Fr. 500'000.– festzusetzen. Eine Reduktion im Sinne von Art. 59 Ziff. 2 Abs. 2 aStGB fällt nicht in Betracht, da keine Anhaltspunkte dafür beste- hen, dass eine Ersatzforderung in der genannten Höhe die Wiedereingliederung des finanziell sehr gut situierten, seit dem Jahr 2000 nicht mehr berufstätigen Angeklagten ernstlich behindern würde. 6. Beschlagnahme und Grundbuchsperre</w:t>
      </w:r>
    </w:p>
    <w:p>
      <w:r>
        <w:rPr>
          <w:b/>
        </w:rPr>
        <w:t>E. 6</w:t>
      </w:r>
    </w:p>
    <w:p>
      <w:r>
        <w:t>Die Schweizerische Bundesanwaltschaft hat A. mit Fr. 2'000.─ zu entschädi- gen.</w:t>
      </w:r>
    </w:p>
    <w:p>
      <w:r>
        <w:rPr>
          <w:b/>
        </w:rPr>
        <w:t>E. 6.1</w:t>
      </w:r>
    </w:p>
    <w:p>
      <w:r>
        <w:t>Hinsichtlich der beschlagnahmten Gegenstände und Dokumente gemäss Ziff. II.1 der Anklageschrift vom 25. Juli 2005 kann auf die Ausführungen im Entscheid der Strafkammer vom 5. Juli 2006 (E. 4.2) verwiesen werden. Diese Gegenstände und Dokumente sind freizugeben.</w:t>
      </w:r>
    </w:p>
    <w:p>
      <w:r>
        <w:rPr>
          <w:b/>
        </w:rPr>
        <w:t>E. 6.2</w:t>
      </w:r>
    </w:p>
    <w:p>
      <w:r>
        <w:t>Mit Verfügung des Eidg. Untersuchungsrichteramtes vom 12. Dezember 2003 wurde das auf den Namen des Angeklagten lautende, bei der Bank B. gehaltene Depot Nr. 1, wozu ein Unterdepot Nr. 2, lautend auf den Namen FF., gehört, ge- sperrt (vgl. pag. 1.7.9 f.; Anklageschrift vom 25. Juli 2005, Ziff. II. 2.). Die Straf- kammer beschlagnahmte sodann mit Verfügung vom 27. Juni 2008 sämtliche auf den Namen des Angeklagten lautenden Vermögenswerte bei der Bank B. sowie sämtliche Vermögenswerte bei der Bank B., an denen der Angeklagte wirtschaft- lich berechtigt oder an denen er beteiligt ist, soweit diese nicht bereits aufgrund der Verfügung des Eidg. Untersuchungsrichteramtes vom 12. Dezember 2003 gesperrt waren. Gleichzeitig ordnete sie über die in der Gemeinde W. gelegenen Grundstücke, bei denen der Angeklagte als Allein- oder Miteigentümer eingetra- gen oder an denen er im Gesamteigentum beteiligt ist, zur Sicherung einer allfäl- ligen Ersatzforderung gemäss Art. 59 Ziff. 2 Abs. 3 aStGB eine Grundbuchsperre</w:t>
      </w:r>
    </w:p>
    <w:p>
      <w:r>
        <w:t>- 46 - an (pag. 74.271.101 ff.). Nachdem eine Ersatzforderung von Fr. 500'000.– be- gründet wird, sind die richterlich angeordneten Verfügungsbeschränkungen in- soweit aufzuheben, als sie sich zur Durchsetzung der Ersatzforderung als ent- behrlich erweisen.</w:t>
      </w:r>
    </w:p>
    <w:p>
      <w:r>
        <w:rPr>
          <w:b/>
        </w:rPr>
        <w:t>E. 6.2.1</w:t>
      </w:r>
    </w:p>
    <w:p>
      <w:r>
        <w:t>Gemäss Auskunft der Bank B. vom 8. Juli und 10. September 2008 ist der Ange- klagte Alleininhaber und wirtschaftlich Berechtigter der nachfolgend aufgeführten, von den Beschlagnahmeverfügungen betroffenen Konti und Depot:</w:t>
      </w:r>
    </w:p>
    <w:p>
      <w:r>
        <w:t>Verbindungs-Nummer</w:t>
      </w:r>
    </w:p>
    <w:p>
      <w:r>
        <w:t>Saldo / Wert per 1.7.2008</w:t>
      </w:r>
    </w:p>
    <w:p>
      <w:r>
        <w:t>- Sparkonto Nr. 3</w:t>
      </w:r>
    </w:p>
    <w:p>
      <w:r>
        <w:t>301.04 CHF - Kontokorrent Nr. 4</w:t>
      </w:r>
    </w:p>
    <w:p>
      <w:r>
        <w:t>–4.82 USD - Kontokorrent Nr. 5</w:t>
      </w:r>
    </w:p>
    <w:p>
      <w:r>
        <w:t>20.14 EUR - Privatkonto Nr. 6</w:t>
      </w:r>
    </w:p>
    <w:p>
      <w:r>
        <w:t>2'118.95 CHF - Kontokorrent Nr. 7</w:t>
      </w:r>
    </w:p>
    <w:p>
      <w:r>
        <w:t>8'350.56 CHF - Privatkonto Nr. 8</w:t>
      </w:r>
    </w:p>
    <w:p>
      <w:r>
        <w:t>72'648.69 EUR - Kontokorrent Nr. 9</w:t>
      </w:r>
    </w:p>
    <w:p>
      <w:r>
        <w:t>21'719.59 USD - Depot Nr. 1</w:t>
      </w:r>
    </w:p>
    <w:p>
      <w:r>
        <w:t>1'657’086.00 CHF - Sparkonto Nr. 10</w:t>
      </w:r>
    </w:p>
    <w:p>
      <w:r>
        <w:t>79'432.00 CHF Da die Summe der Saldi dieser Konti weniger als Fr. 500'000.– beträgt, ist auch das Depot weiterhin unter Beschlagnahme zu belassen. Letzteres überstiege zwar per 1. Juli 2008 wertmässig den Betrag der Ersatzforderung deutlich, doch kann Wertschwankungen bis zum Urteilsvollzug nur mit einer uneingeschränkten Aufrechterhaltung der Depotsperre hinreichend Rechnung getragen werden. Dass mit solchen Schwankungen zu rechnen ist, belegt der Umstand, dass ein in der Auskunft der Bank vom 8. Juli 2008 mit knapp 30 % Wertanteil aufgeführter Titel (Namen-Aktien GG.; Kursdatum 31.12.2007) in einer rund zwei Monate spä- ter erteilten, aktualisierten Auskunft per 1. Juli 2008 wegen unbekanntem Kurs nicht mehr bewertet worden ist. Auch kann damit die Bezeichnung der zur Be- gleichung der Ersatzforderung allenfalls zu liquidierenden Titel dem Depot- Inhaber überlassen werden. Die Sperre dieser Konti und Depot bei der Bank B. ist daher bis zur Begleichung der Ersatzforderung grundsätzlich aufrechtzuerhal- ten, jedoch – unter Einräumung einer Ermächtigung an die Bank zur Veräusse- rung von Wertschriften, soweit die Konti zur Begleichung der Ersatzforderung nicht ausreichen – soweit aufzuheben, als es zur Begleichung der Ersatzforde- rung notwendig ist. Nach Begleichung der Ersatzforderung ist die Sperre der vor- genannten Konti und Depot vollständig aufzuheben.</w:t>
      </w:r>
    </w:p>
    <w:p>
      <w:r>
        <w:rPr>
          <w:b/>
        </w:rPr>
        <w:t>E. 6.2.2</w:t>
      </w:r>
    </w:p>
    <w:p>
      <w:r>
        <w:t>Sämtliche in Erwägung 6.2.1 nicht einzeln aufgeführten Konti sowie das Unter- depot Nr. 2 können demgegenüber sofort zugunsten des/der Berechtigten freige-</w:t>
      </w:r>
    </w:p>
    <w:p>
      <w:r>
        <w:t>- 47 - geben werden. Ebenso ist die richterlich verfügte Grundbuchsperre im Grund- buch V. (Gemeinde W.) per sofort aufzuheben.</w:t>
      </w:r>
    </w:p>
    <w:p>
      <w:r>
        <w:rPr>
          <w:b/>
        </w:rPr>
        <w:t>E. 6.3</w:t>
      </w:r>
    </w:p>
    <w:p>
      <w:r>
        <w:t>Die Verfügung der Strafkammer vom 27. Juni 2008 (Geschäftsnummer SN.2008.19) fällt dahin bzw. wird durch die vorgenannten Anordnungen ersetzt. 7. Kosten Dem Verurteilten werden in der Regel die Kosten des Strafverfahrens ein- schliesslich derjenigen des Ermittlungsverfahrens, der Voruntersuchung sowie der Anklageerhebung und -vertretung auferlegt (Art. 172 Abs. 1 Satz 1 BStP; vgl. ferner Art. 246 BStP). Für die Festlegung der Gebühren und Auslagen kann grundsätzlich auf die Er- wägungen im Entscheid der Strafkammer vom 5. Juli 2006 (E. 5.1, 5.2) sowie im Rückweisungsentscheid des Bundesgerichts vom 4. Juli 2007 (E. 5) verwiesen werden, worin der angefochtene Entscheid im Kostenpunkt bestätigt worden ist.</w:t>
      </w:r>
    </w:p>
    <w:p>
      <w:r>
        <w:rPr>
          <w:b/>
        </w:rPr>
        <w:t>E. 7</w:t>
      </w:r>
    </w:p>
    <w:p>
      <w:r>
        <w:t>Die Sperre des auf A. lautenden Wertschriftendepots Nr. 1 bei der Bank B. wird aufgehoben.</w:t>
      </w:r>
    </w:p>
    <w:p>
      <w:r>
        <w:rPr>
          <w:b/>
        </w:rPr>
        <w:t>E. 7.1</w:t>
      </w:r>
    </w:p>
    <w:p>
      <w:r>
        <w:t>Der Ersatz der bei der Bundesanwaltschaft, bei der Bundeskriminalpolizei und beim Untersuchungsrichteramt entstandenen Verfahrenskosten (Gebühren und Auslagen) bestimmt sich nach der Verordnung vom 22. Oktober 2003 über die Kosten der Bundesstrafrechtspflege (SR 312.025). Sie gibt für die einzelnen Ver- fahrensschritte je einen Gebührenrahmen vor (Art. 4). Die Auslagen sind so fest- zulegen, wie sie bei den Angeklagten anfielen (Art. 5). Für das vorliegende Verfahren (Ergänzung der Anklageschrift und deren Vertre- tung) ist eine zusätzliche Gebühr der Bundesanwaltschaft von Fr. 2'500.– festzu- setzen; weitere Auslagen hat die Bundesanwaltschaft nicht geltend gemacht (pag. 74.910.48). Damit beträgt die Gebühr der Bundesanwaltschaft insgesamt Fr. 13’000.–, jene des Eidg. Untersuchungsrichteramtes Fr. 35'000.–. Die Ausla- gen der Bundesanwaltschaft belaufen sich auf Fr. 9'529.55, jene im Untersu- chungsverfahren des Bundes auf Fr. 90'423.40.</w:t>
      </w:r>
    </w:p>
    <w:p>
      <w:r>
        <w:rPr>
          <w:b/>
        </w:rPr>
        <w:t>E. 7.2</w:t>
      </w:r>
    </w:p>
    <w:p>
      <w:r>
        <w:t>Für das Verfahren vor Bundesstrafgericht wird die Gerichtsgebühr in Anwendung von Art. 2 Abs. 1 lit. c des Reglements vom 11. Februar 2004 über die Gerichts- gebühren vor dem Bundesstrafgericht (SR 173.711.32) neu auf insgesamt Fr. 24'000.─ festgesetzt; die Auslagen des Gerichts im vorherigen Verfahren be- laufen sich gemäss dem Entscheid vom 5. Juli 2006 insgesamt auf Fr. 2'800.80.</w:t>
      </w:r>
    </w:p>
    <w:p>
      <w:r>
        <w:rPr>
          <w:b/>
        </w:rPr>
        <w:t>E. 7.3</w:t>
      </w:r>
    </w:p>
    <w:p>
      <w:r>
        <w:t>Mit Bezug auf die (vollumfängliche) Kostenauferlegung betreffend den Anklage- punkt der Widerhandlung gegen das Betäubungsmittelgesetz bleibt es beim Ent-</w:t>
      </w:r>
    </w:p>
    <w:p>
      <w:r>
        <w:t>- 48 - scheid vom 5. Juli 2006 (dort E. 5.3). Der Angeklagte unterliegt im vorliegenden Verfahren in der Frage der Einziehung. Aufgrund des Freispruchs im Anklage- punkt der Anstiftung zu falschem Zeugnis ist ihm lediglich die Hälfte der zusätzli- chen Gebühren aufzuerlegen, insgesamt demnach Fr. 11'750.– als Anteil der Gebühr der Bundesanwaltschaft und Fr. 22'000.– als Anteil der Gerichtsgebühr. Es liegen keine Gründe für eine ganze oder teilweise Befreiung von der Kosten- tragungspflicht vor (Art. 172 Abs. 1 Satz 2 BStP). Die Auslagen des Gerichts im vorliegenden Verfahren (Fr. 20.– Grundbuchaus- zug, Fr. 2'478.– Rechtsgutachten Schweizerisches Institut für Rechtsverglei- chung, Fr. 3'193.10 Gutachterliche Stellungnahme der Universität Bern zur Ver- handlungsfähigkeit des Angeklagten) verbleiben demgegenüber beim Staat. 8. Entschädigung</w:t>
      </w:r>
    </w:p>
    <w:p>
      <w:r>
        <w:rPr>
          <w:b/>
        </w:rPr>
        <w:t>E. 8</w:t>
      </w:r>
    </w:p>
    <w:p>
      <w:r>
        <w:t>Die beschlagnahmten Gegenstände und Dokumente gemäss Ziff. II. 1. der An- klageschrift werden freigegeben.</w:t>
      </w:r>
    </w:p>
    <w:p>
      <w:r>
        <w:rPr>
          <w:b/>
        </w:rPr>
        <w:t>E. 8.1</w:t>
      </w:r>
    </w:p>
    <w:p>
      <w:r>
        <w:t>Die Strafkammer sprach dem Angeklagten im aufgehobenen Entscheid (vgl. dort E. 6.1) angesichts der Tatsache, dass er in den wesentlichen Punkten schuldig gesprochen wurde und der Verteidigungsaufwand in Bezug auf die Anschuldi- gung wegen Anstiftung zu falschem Zeugnis entsprechend als gering einzu- schätzen war, eine pauschale Parteientschädigung in der Höhe von Fr. 2'000.─ zu. Aufgrund der Rückweisung der Sache zu neuer Entscheidung und des Sach- zusammenhangs im Kostenpunkt ist über die Entschädigungsfrage neu zu befin- den (vgl. vorne E. 1.1.2).</w:t>
      </w:r>
    </w:p>
    <w:p>
      <w:r>
        <w:rPr>
          <w:b/>
        </w:rPr>
        <w:t>E. 8.2</w:t>
      </w:r>
    </w:p>
    <w:p>
      <w:r>
        <w:t>Da der Angeklagte teilweise freigesprochen wird, hat das Gericht nach Massgabe von Art. 176 i.V.m. Art. 122 Abs. 1 BStP über die Entschädigung zu befinden. Diese bemisst sich in Anwendung des Reglements vom 26. September 2006 über die Entschädigungen in Verfahren vor dem Bundesstrafgericht (SR 173.711.31). Die Parteientschädigung besteht aus den Anwaltskosten, welche ih- rerseits das Honorar und die notwendigen Auslagen umfassen (Art. 1 Abs. 1 und Art. 2 Abs. 1 des Reglements). Das Honorar bemisst sich nach dem notwendigen und ausgewiesenen Zeitaufwand des Anwalts, wobei der Stundenansatz mindes- tens Fr. 200.─ und höchstens Fr. 300.─ beträgt (Art. 3 Abs. 1 des Reglements).</w:t>
      </w:r>
    </w:p>
    <w:p>
      <w:r>
        <w:rPr>
          <w:b/>
        </w:rPr>
        <w:t>E. 8.3</w:t>
      </w:r>
    </w:p>
    <w:p>
      <w:r>
        <w:t>Der Verteidiger macht mit Kostennote vom 12. September 2008 für seinen Auf- wand in der Zeit vom 6. November 2007 bis 17. September 2008 (inkl. Teilnahme an der Hauptverhandlung und Schlussbesprechung mit Klient) ein Honorar von total Fr. 76'000.– (243 Stunden Rechtsanwalt und 110 Stunden Praktikantin) zu- züglich Auslagen von total Fr. 2'703.30 geltend (pag. 74.721.1 ff.). Die Sache bot weder in tatsächlicher noch rechtlicher Hinsicht besonders grosse Schwierigkei- ten, weshalb ein Stundenansatz von Fr. 230.– angemessen erscheint; die Reise-</w:t>
      </w:r>
    </w:p>
    <w:p>
      <w:r>
        <w:t>- 49 - zeit wird praxisgemäss zu einem Ansatz von Fr. 200.– entschädigt. Der Stunden- ansatz für die Praktikantin kann antragsgemäss auf Fr. 100.– festgesetzt werden. Als notwendiger Aufwand werden 186 Stunden Arbeit und 14 Stunden Reisezeit sowie ein Einsatz der Praktikantin von 100 Stunden anerkannt, letztere indes nur für Büroarbeiten und nicht für die Teilnahme an der Hauptverhandlung, da kein Anspruch auf Zulassung eines zweiten Verteidigers besteht (Art. 35 Abs. 2 BStP). Das Honorar beträgt somit Fr. 55'580.– (186 x Fr. 230.–, 14 x Fr. 200.–, 100 x Fr. 100.–) bzw. aufgerundet Fr. 56'000.–. Die geltend gemacht Auslagen von Fr. 2'478.30 (Bürounkosten, Fahrspesen, Übernachtung, Verpflegung) sowie Fr. 225.– für Grundbuchauszüge sind (mit Ausnahme der Auslagen für die Prak- tikantin) berechtigt. Der Aufwand der Verteidigung beträgt mithin Fr. 63'147.65 (Fr. 58'478.30 zuzüglich Fr. 4'444.35 MWST und Fr. 225.– Rechnung Grund- buchamt). Die Parteientschädigung wird entsprechend dem Verfahrensausgang auf Fr. 30'000.– (inkl. Mehrwertsteuer) festgesetzt. Die Eidgenossenschaft hat dem Angeklagten diesen Betrag zu entrichten.</w:t>
      </w:r>
    </w:p>
    <w:p>
      <w:r>
        <w:rPr>
          <w:b/>
        </w:rPr>
        <w:t>E. 9</w:t>
      </w:r>
    </w:p>
    <w:p>
      <w:r>
        <w:t>Die Verfügung der Strafkammer vom 27. Juni 2008 (SN.2008.19) fällt dahin.</w:t>
      </w:r>
    </w:p>
    <w:p>
      <w:r>
        <w:rPr>
          <w:b/>
        </w:rPr>
        <w:t>E. 10</w:t>
      </w:r>
    </w:p>
    <w:p>
      <w:r>
        <w:t>Dieser Entscheid wird in der Hauptverhandlung eröffnet und durch den Vorsitzenden mündlich begründet. Im Namen der Strafkammer des Bundesstrafgerichts Der Vorsitzende:</w:t>
      </w:r>
    </w:p>
    <w:p>
      <w:r>
        <w:t>Der Gerichtsschreiber</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- 52 - Eine vollständige schriftliche Ausfertigung wird zugestellt an - Bundesanwaltschaft - Fürsprecher Conradin Bluntschli als Verteidiger</w:t>
      </w:r>
    </w:p>
    <w:p>
      <w:r>
        <w:t>Eine auszugsweise Ausfertigung wird zugestellt an - Rechtsanwalt Lienhard Meyer als Vertreter von J. - K. - die Bank B. - das Grundbuchamt V.</w:t>
      </w:r>
    </w:p>
    <w:p>
      <w:r>
        <w:t>Nach Eintritt der Vollziehbarkeit mitzuteilen an: - Bundesanwaltschaft als Vollzugsbehörde (vollständig)</w:t>
      </w:r>
    </w:p>
    <w:p>
      <w:r>
        <w:t>Nach Eintritt der Rechtskraft mitzuteilen an: - Bundesamt für Justiz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