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SK.2006.25 vom 12. Juni 2007</w:t>
      </w:r>
    </w:p>
    <w:p>
      <w:r>
        <w:t>Bundesstrafgericht, 2007-06-12, DE</w:t>
      </w:r>
    </w:p>
    <w:p>
      <w:r>
        <w:rPr>
          <w:b/>
        </w:rPr>
        <w:t xml:space="preserve">Quelle: </w:t>
      </w:r>
      <w:r>
        <w:t>https://mcp.opencaselaw.ch/entscheid/bstger_SK.2006.25</w:t>
      </w:r>
    </w:p>
    <w:p>
      <w:r>
        <w:t>FR: TPF SK.2006.25 du 12 juin 2007</w:t>
      </w:r>
    </w:p>
    <w:p>
      <w:r>
        <w:t>IT: TPF SK.2006.25 del 12 giugno 2007</w:t>
      </w:r>
    </w:p>
    <w:p>
      <w:pPr>
        <w:pStyle w:val="Heading2"/>
      </w:pPr>
      <w:r>
        <w:t>Regeste</w:t>
      </w:r>
    </w:p>
    <w:p>
      <w:r>
        <w:t>mehrfache Urkundenfälschung, mehrfache Unterdrückung von Urkunden, mehrfaches Sich-Bestechen-Lassen, mehrfache Widerhandlung gegen das ANAG, eventuell teilweise versuchte mehrfache Widerhandlung gegen das ANAG</w:t>
      </w:r>
    </w:p>
    <w:p>
      <w:pPr>
        <w:pStyle w:val="Heading2"/>
      </w:pPr>
      <w:r>
        <w:t>Erwägungen</w:t>
      </w:r>
    </w:p>
    <w:p>
      <w:r>
        <w:rPr>
          <w:b/>
        </w:rPr>
        <w:t>E. 14</w:t>
      </w:r>
    </w:p>
    <w:p>
      <w:r>
        <w:t>Januar 1998 über Einreise und Anmeldung von Ausländerinnen und Auslän- dern (VEA; SR 142.211) umschrieben. Sind diese Einreisevoraussetzungen er- füllt, kann Ausländerinnen und Ausländern ein Visum erteilt werden (Art. 9 Abs. 1 VEA). Dem zuständigen Beamten steht somit für diesen Fall ein Entscheidungs- spielraum im Sinne des vorerwähnten Entschliessungsermessens zu. Sind umge- kehrt die Einreisvoraussetzungen gemäss Art. 1 VEA nicht erfüllt, ist er verpflich- tet, das Visum zu verweigern. Er verfügt in diesem Falle über kein Ermessen und zwar mit Blick auf die vorstehenden Ausführungen auch nicht insofern, als die Voraussetzungen auf der Tatbestandsseite offen umschrieben sind (z.B. „genü- gend Mittel“ zur Bestreitung des Lebensunterhaltes; Art. 1 Abs. 2 lit. d VEA). Sein Handeln beinhaltet somit nur einseitig Ermessen, nämlich dann, wenn ein Auslän- der die Einreisevoraussetzungen gemäss Art. 1 VEA erfüllt, und es ist gebunden, wenn die Voraussetzungen beim betreffenden Ausländer ganz oder teilweise</w:t>
      </w:r>
    </w:p>
    <w:p>
      <w:r>
        <w:t>- 11 - fehlen.</w:t>
      </w:r>
    </w:p>
    <w:p>
      <w:r>
        <w:t>Nach dem Gesagten stellt sich damit für eine Strafbarkeit nach Art. 322quater StGB die Frage, ob der Angeklagte einen nicht gebührenden Vorteil im Zusammenhang mit der Visaerteilung an Ausländer angenommen hat, welche die Einreisevoraus- setzungen erfüllten (was eine diesbezügliche Abklärung bedingen würde), da nur in diesem Fall von einer im Ermessen stehenden Handlung gesprochen werden kann. Solches ist weder im Anklagesachverhalt noch in den Akten dargetan. Viel- mehr ergibt sich, dass die Vorteile nicht für Handlungen im Ermessen des Ange- klagten, sondern für eine Tätigkeit im Sinne gebundenen Verwaltungshandelns er- folgt sind. Aus diesem Grund sowie mit Blick darauf, dass die Bundesanwaltschaft dem Angeklagten anders als in der ursprünglichen Anklageschrift vom 14. Sep- tember 2005 ausdrücklich keine Pflichtwidrigkeit mehr vorwirft (dazu E. 1.3) und es insbesondere auch an entsprechenden Sachverhaltsbehauptungen in der ge- änderten Anklageschrift fehlt, scheidet ein Schuldspruch unter Art. 322quater StGB aus.</w:t>
      </w:r>
    </w:p>
    <w:p>
      <w:r>
        <w:t>3. Vorteilsannahme</w:t>
      </w:r>
    </w:p>
    <w:p>
      <w:r>
        <w:t>3.1 Gemäss Art. 322sexies StGB macht sich strafbar, wer als Mitglied einer richterlichen oder anderen Behörde, als Beamter, als amtlich bestellter Sachverständiger, Übersetzer oder Dolmetscher oder als Schiedsrichter im Hinblick auf die Amtsfüh- rung einen nicht gebührenden Vorteil fordert, sich versprechen lässt oder an- nimmt. Art. 322sexies StGB bildet einen Auffangtatbestand zur passiven Beste- chung (vgl. etwa BBl 1999 S. 5532). Er erfasst in dieser Funktion nicht nur das „Anfüttern“ bzw. die „Klimapflege“ (BBl 1999 S. 5509, 5534 f.), sondern ebenso Belohnungen für „rechtmässige Amtshandlungen“, die „keinen Ermessensspiel- raum eröffnen“ (so für die spiegelbildlich ausgestaltete Vorteilsgewährung BBl 2004 S. 6998; BBl 1999 S. 5528) und damit auch Fälle, in denen die Pflichtwidrig- keit amtlichen (gebundenen) Handelns nicht gegeben ist bzw. erstellt werden kann (a.M. wohl JOSITSCH, a.a.O., S. 370). Der Vorteil muss geeignet sein, auf die so verstandene Amtsführung des Empfängers einzuwirken (BBl 1999 S. 5535). Die Botschaft und wohl eine Mehrheit der Lehre gehen dabei davon aus, dass die Vorteilszuwendung ihrer Natur nach zukunftsgerichtet sein muss (BBl 1999 S. 5509 und 5535; CORBOZ, Les infractions en droit suisse, Volume II, Bern 2002, Art. 322quinquies N. 9 i.V.m. Art. 322sexies N. 6; DONATSCH/WOHLERS, Strafrecht IV, Zürich 2004, S. 532; PIETH, Basler Kommentar, Art. 322quinquies StGB N. 9; anders etwa STRATENWERTH, a.a.O.; § 60 N. 30 m.w.H.; JOSITSCH, a.a.O., S. 381 ff.).</w:t>
      </w:r>
    </w:p>
    <w:p>
      <w:r>
        <w:t>Der Angeklagte gibt zu, im Zusammenhang mit Visaerteilungen an bangladeschi- sche Staatsbürger von B. Geld entgegengenommen zu haben (statt vieler</w:t>
      </w:r>
    </w:p>
    <w:p>
      <w:r>
        <w:t>- 12 - pag. 4.13.87 ff.). Da ein Schuldspruch wegen passiver Bestechung aus den ge- nannten Gründen nicht erfolgen kann (vgl. E. 1.3 und 2.2), gilt es zu prüfen, ob dieses Verhalten allenfalls nach Art. 322sexies StGB strafbar ist, der in solchen Konstellationen gemäss den vorstehenden Ausführungen als Auffangtatbestand in Betracht fällt und dessen Anwendung sich das Gericht ausdrücklich vorbehalten hat (vgl. Sachverhalt C.).</w:t>
      </w:r>
    </w:p>
    <w:p>
      <w:r>
        <w:t>3.2 Bezüglich der Funktion des Angeklagten und seiner Qualifikation als Beamter des Bundes im Sinne von Art. 322sexies StGB i.V.m. Art. 110 Abs. 3 StGB (Art. 110 Ziff. 4 aStGB) kann auf die Ausführungen im Entscheid vom 28. November 2005 (dort E. 1.1; pag. 15.5.10) verwiesen werden. Die Erteilung von Visa für die Schweiz war, wie ebenfalls im Entscheid vom 28. November 2005 festgehalten, eine der besonderen Obliegenheiten des Angeklagten in seiner Funktion als stv. Honorarkonsul in Oman und damit Teil der Amtsführung (vgl. Art. 15 Abs. 1 des Vollzugsreglements über die Konsularagenten vom 1. Juli 1991 [pag. 2.7.49 ff.] bzw. Art. 21 Abs. 1 der Weisungen über die Honorar-Konsularposten und die Ho- norar-Konsularbeamten vom 1. Januar 2002 [pag. 2.7.23 ff.] i.V.m. dem Pflichten- heft des Honorarkonsuls vom 14. Juli 1998 [pag. 12.7.5 ff. = 13.8.10 ff.]). Nach- dem erstellt ist, dass die von B. entgegengenommenen Vorteile im Zusammen- hang mit der Funktion des Angeklagten und folglich mit dessen besonderen, amt- lichen Obliegenheiten standen, ist der notwendige Bezug zwischen Vorteil und Amtsführung gegeben.</w:t>
      </w:r>
    </w:p>
    <w:p>
      <w:r>
        <w:t>Betreffend den Zeitpunkt der Vorteilsannahme hält die Verteidigung in Begrün- dung ihres Eventualantrages fest, es sei beweismässig nicht erstellt, zu welchem Zeitpunkt der Angeklagte jeweils welche Geldbeträge entgegengenommen habe (pag. 16.320.8). Indessen schilderte der Angeklagte den Ablauf im Rahmen seiner Einvernahme vom 10. Mai 2004 wie folgt: „Er [B.] rief mich jeweils am Freitag Morgen zu Hause an und sagte mir, er habe wieder 2 Bangladeschi, die ein Visum für die Schweiz brauchen würden. Am Nachmittag kam er dann mit den beiden Pässen und mit dem Geld zu mir nach Hause und übergab es mir.“ (pag. 4.13.89, Z. 35 ff., keine Hervorhebung im Original). Wie sich aus der Anschlussfrage („Was geschah dann?“) und der Antwort darauf ergibt (pag. 4.13.89 f., Z. 40 ff.), kam es erst nach der Annahme des Geldes zu den inkriminierten Handlungen. Die gegen- teilige Aussage des Angeklagten anlässlich der Hauptverhandlung vom 12. Ju- ni 2007, wonach er das Geld nicht zum Voraus erhalten, sondern mehrheitlich später erhalten habe (pag. 16.600.10, Z. 30 f.), ist in diesem Sinne als Schutzbe- hauptung zu werten. Nach dem Gesagten ist somit davon auszugehen, dass die Vorteilszuwendung im Hinblick auf die (zukünftige) Amtsführung erfolgte. An die- sem Ergebnis würde sich selbst dann nichts ändern, wenn man der Darstellung des Angeklagten folgen wollte, er habe das Geld „manchmal“ später erhalten (so dessen Aussage anlässlich der ersten Hauptverhandlung vom 24. Novem-</w:t>
      </w:r>
    </w:p>
    <w:p>
      <w:r>
        <w:t>- 13 - ber 2005; pag. 15.4.6, Z. 26 f.). In einem solchem Fall diente die Vorteilszuwen- dung (auch) dazu, den Angeklagten pro futuro, also für die künftige Amtstätigkeit, günstig zu stimmen. Entsprechend wäre auch in diesem Fall die zukunftsgerichte- te Natur der Vorteilszuwendung zu bejahen.</w:t>
      </w:r>
    </w:p>
    <w:p>
      <w:r>
        <w:t>Was schliesslich die angenommenen Vorteile an sich anbelangt, so bestreitet auch der Angeklagte nicht grundsätzlich, dass diese ungebührend waren, hat er doch jeweils nur die ordentliche Visumsgebühr an den Staat abgeführt und war nicht berechtigt, die Mehrleistungen für die Visumserteilung einzubehalten. Als nicht beweismässig erstellt erachtet die Verteidigung allerdings die Höhe der vor- geworfenen Zahlungen (pag. 16.320.8). Diesbezüglich kann auf den in diesem Punkt nicht angefochtenen Entscheid vom 28. November 2005 (dort E. 8.1; pag. 15.5.43) verwiesen werden. Darin ist das Gericht vom tiefsten, vom Ange- klagten durchschnittlich zugestandenen Gebührenbetrag, nämlich 300 OMR (pag. 4.13.91, Z. 18 ff.) ausgegangen; Anlass von diesem Ergebnis abzuweichen, besteht für das Gericht, obschon der Angeklagte an der Hauptverhandlung vom 12. Juni 2007 wie bereits früher (vgl. pag. 4.13.88, Z. 7) in Einzelfällen einen ge- ringeren Betrag erhalten haben will (pag. 16.600.9, Z. 21 ff.), nicht. Auch soweit die Verteidigung darüber hinaus die Anzahl an Visaerteilungen bestreitet (pag. 16.320.7; vgl. auch pag. 16.600.10, Z. 7 ff.), ist auf den in dieser Hinsicht ebenfalls unangefochtenen Entscheid vom 28. November 2005 (dort E. 2.4.2- 2.4.4; pag. 15.5.18 ff.) zu verweisen. Darin wurden bezüglich der Urkundenfäl- schung im Amt (Art. 317 StGB) mit einlässlicher Beweiswürdigung insgesamt 134 Visaerteilungen als erstellt betrachtet. Diese erfassen auch die von der Bun- desanwaltschaft mit ergänzter Anklageschrift vom 7. März 2007 zur Anklage ge- brachten 112 Fälle (pag. 16.100.12), konkret die Visaaustellungen Nr. 23-134 in der Zeitperiode vom 19. Juni 2000 bis 9. September 2003 gemäss der Beilage 1 zur Anklageschrift vom 14. September 2005 (inkl. den korrigierten Daten der Vi- saausstellung bezüglich der Nr. 108, 116 und 117 gemäss Schreiben vom 3. Ap- ril 2007 [pag. 16.310.4]).</w:t>
      </w:r>
    </w:p>
    <w:p>
      <w:r>
        <w:t>Zusammenfassend ergibt sich damit, dass der Angeklagte zusätzlich zum Schuld- spruch gemäss Anklageschrift Ziff. 3 Abs. 5 (Reise im Wert von Fr. 8'000.–) auch der mehrfachen Vorteilsannahme im Sinne von Art. 322sexies StGB gemäss Ankla- geergänzung vom 7. März 2007 schuldig zu sprechen ist.</w:t>
      </w:r>
    </w:p>
    <w:p>
      <w:r>
        <w:t>4. Strafzumessung</w:t>
      </w:r>
    </w:p>
    <w:p>
      <w:r>
        <w:t>4.1 Wie eingangs erwähnt (vgl. E. 1.2), ist eine allfällig mildere Rechtslage bei der Ausfällung des vorliegenden Entscheids zu berücksichtigen (Art. 2 Abs. 2 StGB). Ob eine neue Bestimmung im Vergleich zur alten milder sei, entscheidet sich nicht</w:t>
      </w:r>
    </w:p>
    <w:p>
      <w:r>
        <w:t>- 14 - aufgrund eines abstrakten Vergleichs. Massgebend ist vielmehr die konkrete Be- trachtungsweise und damit die Frage, nach welchem Recht der Täter hinsichtlich seiner Tat günstiger beurteilt wird (BGE 126 IV 5 E. 2c S. 8; 119 IV 145 E. 2c S. 151 f.; 114 IV 81 E. 3b m.w.H.). Dies ergibt sich aus der mit der Sanktion ver- bundenen Einschränkung in den persönlichen Freiheiten. Die Freiheitsstrafe gilt immer als einschneidender als die Geldstrafe, unabhängig von den persönlichen und wirtschaftlichen Verhältnissen des Bestraften (vgl. RIKLIN, Revision des All- gemeinen Teils des Strafgesetzbuches: Fragen des Übergangsrechts, AJP 2006 S. 1473).</w:t>
      </w:r>
    </w:p>
    <w:p>
      <w:r>
        <w:t>Da vorliegend nach neuem Recht auch eine Geldstrafe möglich ist (Art. 34 Abs. 1 StGB) und selbst beim Aussprechen einer Freiheitsstrafe der bedingte Vollzug anders als nach altem Recht (Art. 41 aStGB) für eine längere Zeitdauer und be- reits beim Fehlen einer ungünstigen Prognose gewährt werden kann (Art. 42 StGB), ist das neue Recht als das mildere anzuwenden.</w:t>
      </w:r>
    </w:p>
    <w:p>
      <w:r>
        <w:t>4.2 In Bezug auf die Strafzumessung (Art. 47 ff. StGB) bringt das neue Recht gegen- über der bisherigen Praxis materiell keine wesentlichen Neuerungen. Im Gegenteil soll das neue Recht nach dem Willen des Gesetzgebers ausdrücken, was bereits bisher gemäss Rechtsprechung für die Verschuldensfeststellung und die Strafzu- messung zu berücksichtigen war (TPF SK.2006.18 vom 31. Mai 2007 E. 11.1). In- sofern kann im Grundsatz auf die im Entscheid vom 28. November 2005 (vgl. E. 7; pag. 15.5.38 ff.) genannten Kriterien und die dortigen Erwägungen zur Strafzu- messung, welche vom Bundesgericht nicht beanstandet wurden, verwiesen wer- den.</w:t>
      </w:r>
    </w:p>
    <w:p>
      <w:r>
        <w:t>Straferhöhend wirkt sich der zusätzliche Schuldspruch in Bezug auf Art. 322sexies StGB bzw. das damit verbundene, gesteigerte Ausmass des verschuldeten Erfol- ges aus. Geringfügig strafmindernd sind das etwas höhere Alter des Angeklagten und der leicht verschlechterte Gesundheitszustand zu gewichten (zu Letzterem pag. 16.600.8, Z. 7 ff., insbesondere Z. 10, worin der Angeklagte erklärt, sich „mehr oder weniger erholt“ zu haben). Keine Strafminderung rechtfertigt sich demgegenüber wegen der Verfahrensdauer von nunmehr knapp dreieinhalb Jah- ren, kann darin doch angesichts der Schwere und der Zahl der Handlungen, die aufgeklärt werden mussten, noch keine Verletzung des Beschleunigungsgebots gemäss Art. 29 Abs. 2 BV und Art. 6 Ziff. 1 EMRK gesehen werden. Zu prüfen bleibt in diesem Zusammenhang immerhin die Frage der Strafmilderung gemäss Art. 48 lit. e StGB. Danach mildert das Gericht die Strafe, wenn das Strafbedürfnis in Anbetracht der seit der Tat verstrichenen Zeit deutlich vermindert ist und der Täter sich in dieser Zeit wohl verhalten hat. Gemäss bundesgerichtlicher Recht- sprechung (BGE 132 IV 1 E. 6.2 S. 3 f.) ist dieser Strafmilderungsgrund in jedem Fall zu beachten, wenn zwei Drittel der Verjährungsfrist verstrichen sind, wobei</w:t>
      </w:r>
    </w:p>
    <w:p>
      <w:r>
        <w:t>- 15 - der Richter diese Zeitspanne unterschreiten kann, um Art und Schwere der Tat Rechnung zu tragen. Für die vorliegend neu zu beurteilenden Handlungen ist die Zeitspanne von zwei Dritteln der Verjährungsfrist gemäss Art. 97 Abs. 1 lit. c StGB für 66 Fälle (Visaaustellungen Nr. 23-88) und damit etwas mehr als die Hälfte der 112, nach Art. 322sexies StGB strafbaren Handlungen verstrichen. Die Strafe ist un- ter diesem Gesichtspunkt somit geringfügig zu mildern.</w:t>
      </w:r>
    </w:p>
    <w:p>
      <w:r>
        <w:t>Im Ergebnis erscheint angesichts der vorstehenden sowie der Ausführungen im Entscheid vom 28. November 2005 eine Freiheitsstrafe von 11 Monaten als an- gemessen.</w:t>
      </w:r>
    </w:p>
    <w:p>
      <w:r>
        <w:t>4.3 Gemäss Art. 42 Abs. 1 StGB schiebt das Gericht den Vollzug einer Freiheitsstrafe von mindestens sechs Monaten und höchstens zwei Jahren in der Regel auf, wenn eine unbedingte Strafe nicht notwendig erscheint, um den Täter von der Be- gehung weiterer Verbrechen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Die Gewährung des beding- ten Strafvollzuges kann auch verweigert werden, wenn der Täter eine zumutbare Schadenbehebung unterlassen hat (Art. 42 Abs. 3 StGB). Schiebt das Gericht den Vollzug einer Strafe ganz oder teilweise auf, so bestimmt es dem Verurteilten eine Probezeit von zwei bis fünf Jahren (Art. 44 Abs. 1 StGB). Welche Probezeit inner- halb dieses Rahmens als angemessen zu gelten hat, entscheidet sich nach den Umständen des Einzelfalles, insbesondere nach der Persönlichkeit und dem Cha- rakter des Verurteilten sowie der Gefahr seiner Rückfälligkeit (BGE 95 IV 121 E. 1 S. 122).</w:t>
      </w:r>
    </w:p>
    <w:p>
      <w:r>
        <w:t>Die objektiven Voraussetzungen für die Gewährung des bedingten Strafvollzuges sind in Bezug auf den Angeklagten erfüllt. Gleiches gilt für die subjektiven Voraus- setzungen, liegen doch keine Anhaltspunkte dafür vor, der Angeklagte würde sich nicht bewähren. Angesichts des Verhaltens des Angeklagten, seiner im Übrigen nicht zu beanstandenden Lebensführung (dazu auch pag. 16.400.1), der geringen Rückfallsgefahr sowie seines fortgeschrittenen Alters rechtfertigt sich eine mini- male Probezeit von zwei Jahren.</w:t>
      </w:r>
    </w:p>
    <w:p>
      <w:r>
        <w:t>5. Ersatzforderung</w:t>
      </w:r>
    </w:p>
    <w:p>
      <w:r>
        <w:t>Mit Entscheid vom 28. November 2005 (dort E. 8; pag. 15.5.42 ff.), der auch in diesem Punkt durch das bundesgerichtliche Urteil nicht tangiert wurde, hat die Strafkammer für 134 Fälle missbräuchlicher Visumserteilungen einen zur Beloh-</w:t>
      </w:r>
    </w:p>
    <w:p>
      <w:r>
        <w:t>- 16 - nung der Urkundenfälschung erlangten Gesamtvorteil von Fr. 148'700.– ermittelt, die Ersatzforderung gemäss Art. 59 Ziff. 2 aStGB jedoch wegen unverhältnismäs- siger Härte auf Fr. 50'000.– reduziert. Damit erfasst die seinerzeit festgelegte Er- satzforderung auch den Vorteil aus der mit dem Urkundendelikt konkurrierenden Vorteilsannahme; denn in beiden sind (unter anderem) die 112 Visaaustellungen Nr. 23-134 in der Zeitperiode vom 19. Juni 2000 bis 9. September 2003 gemäss der Beilage 1 zur Anklageschrift vom 14. September 2005 eingeschlossen. Die von der Bundesanwaltschaft angestrebte Erhöhung der Ersatzforderung, die wie die Einziehung lediglich dem Ausgleich bzw. der Abschöpfung dient, ist damit ausgeschlossen und es bleibt bei der ursprünglichen Forderung von Fr. 50'000.–. Zu deren Durchsetzung wird, nachdem der Angeklagte diese Summe gemäss seinen unbestritten gebliebenen Aussagen an Schranken (pag. 16.600.8, Z. 29 f.) in der Zwischenzeit der Eidgenossenschaft hat überweisen lassen, der entspre- chende bei der Bundesanwaltschaft auf dem Postkonto Nr. 1 hinterlegte Betrag bestimmt. Ziff. 7 des Dispositivs des Entscheids vom 28. November 2005 ist in diesem Sinne anzupassen.</w:t>
      </w:r>
    </w:p>
    <w:p>
      <w:r>
        <w:t>6. Kosten</w:t>
      </w:r>
    </w:p>
    <w:p>
      <w:r>
        <w:t>Dem Verurteilten werden in der Regel die Kosten des Strafverfahrens einschliess- lich derjenigen des Ermittlungsverfahrens, der Voruntersuchung sowie der Ankla- geerhebung und -vertretung auferlegt (Art. 172 Abs. 1 Satz 1 BStP). Dazu gehö- ren auch die Kosten der Neubeurteilung, ist dies doch (im Gegensatz zu TPF SK.2005.5 vom 19. Oktober 2005 E. 5) der erste materielle Entscheid in einem der Anklagepunkte.</w:t>
      </w:r>
    </w:p>
    <w:p>
      <w:r>
        <w:t>Die Bundesanwaltschaft macht für die Ergänzung der Anklageschrift und die An- klagevertretung eine zusätzliche Gebühr von Fr. 1'000.– geltend. Diese Gebühr erscheint mit Blick auf Art. 4 lit. d der Verordnung vom 22. Oktober 2003 über die Kosten der Bundesstrafrechtspflege (SR 312.025) angemessen. Sie ist dem An- geklagten zusätzlich zur Bezahlung aufzuerlegen, womit sich die Gebühr der Bun- desanwaltschaft auf insgesamt Fr. 13'000.– beläuft.</w:t>
      </w:r>
    </w:p>
    <w:p>
      <w:r>
        <w:t>Für das neuerliche Verfahren vor Bundesstrafgericht wird die Gerichtsgebühr in Anwendung von Art. 2 Abs. 2 lit. b des Reglements vom 11. Februar 2004 über die Gerichtsgebühren vor dem Bundesstrafgericht (SR 173.711.32) auf Fr. 1'000.– festgesetzt. Diese ist ebenfalls vom Angeklagten zu tragen. Insgesamt beträgt die Gerichtsgebühr demgemäss Fr. 8'000.–.</w:t>
      </w:r>
    </w:p>
    <w:p>
      <w:r>
        <w:t>- 17 - 7. Anwaltskosten</w:t>
      </w:r>
    </w:p>
    <w:p>
      <w:r>
        <w:t>Der Verteidiger wurde mit Wirkung ab 27. Oktober 2005 als amtlicher beigeordnet (pag. 15.7.23). Als solcher wird er direkt entschädigt (Art. 38 Abs. 1 BStP). Die Anwaltskosten umfassen das Honorar und den Ersatz der notwendigen Auslagen (Art. 2 Abs. 1 des Reglements vom 26. September 2006 über die Entschädigun- gen in Verfahren vor dem Bundesstrafgericht [SR 173.711.31]). Das Honorar wird nach dem notwendigen und ausgewiesenen Zeitaufwand des Anwalts oder der Anwältin bemessen. Der Stundenansatz beträgt mindestens Fr. 200.– und höchs- tens Fr. 300.– (Art. 3 Abs. 1 des Reglements).</w:t>
      </w:r>
    </w:p>
    <w:p>
      <w:r>
        <w:t>Die an Schranken eingereichte Honorarnote des Verteidigers für das Verfahren nach Kassation (pag. 16.500.1) listet einen Zeitaufwand von 28 Stunden und ei- nen zusätzlichen Reiseaufwand von 7 Stunden auf. Während der für die Reise veranschlagte Stundenansatz von Fr. 200.– nicht zu beanstanden ist, erscheint der für die übrigen Vorkehren geltend gemachte Ansatz von Fr. 250.– als zu hoch. Das vorliegende Verfahren bot weder in tatsächlicher noch rechtlicher Hinsicht besondere Schwierigkeiten. Angesichts dessen ist ein Stundenansatz von Fr. 230.– angemessen. Die Honorarnote des Verteidigers ist entsprechend zu kürzen und im Übrigen anzuerkennen. Die Entschädigung für das neuerliche Ver- fahren beläuft sich damit auf Fr. 8'900.70 (Fr. 8'435.85 Honorar [28 Stunden à Fr. 230.– und 7 Stunden à Fr. 200.–, plus 7.6% MWST] und Fr. 464.85 Auslagen [Fr. 432.– plus 7.6% MWST]). Unter Einbezug der bereits im ersten Verfahren zu- gesprochenen Entschädigung von Fr. 15'252.30 ergibt sich damit total ein Betrag von Fr. 24’153.– (inkl. MWST).</w:t>
      </w:r>
    </w:p>
    <w:p>
      <w:r>
        <w:t>Zufolge Bedürftigkeit des Angeklagten (vgl. dazu den Entscheid vom 28. Novem- ber 2005 E. 8.2; pag. 15.5.44) trägt die Entschädigung einstweilen die Bundes- kasse (Art. 38 Abs. 2 BStP). Der Angeklagte hat dem Bund Ersatz zu leisten, wenn er künftig zu entsprechenden Mitteln kommt und seine Bedürftigkeit dadurch ganz oder teilweise verlieren sollte.</w:t>
      </w:r>
    </w:p>
    <w:p>
      <w:r>
        <w:t>- 18 - Die Strafkammer erkennt:</w:t>
      </w:r>
    </w:p>
    <w:p>
      <w:r>
        <w:t>1. A. wird frei gesprochen:</w:t>
      </w:r>
    </w:p>
    <w:p>
      <w:r>
        <w:t>− von der Anklage der mehrfachen Urkundenfälschung im Amt im Sinne von Art. 317 Ziff. 1 Abs. 2 StGB hinsichtlich der Einträge in das Visumsregister in 134 Fällen; − von der Anklage der mehrfachen Unterdrückung von Urkunden im Sinne von Art. 254 Abs. 1 StGB; − von der Anklage des mehrfachen Sich-Bestechen-Lassens im Sinne von Art. 315 StGB a. F. respektive Art. 322quater StGB hinsichtlich zweier im Jahre 1998 erteilter Visa sowie hinsichtlich von 27 weiteren erteilten Visa (Anklage- schrift Ziff. 3 Abs. 2 und 4); − von der Anklage der mehrfachen Widerhandlung gegen das ANAG im Sinne von Art. 23 Abs. 2 Satz 1 beziehungsweise des Versuchs dazu.</w:t>
      </w:r>
    </w:p>
    <w:p>
      <w:r>
        <w:t>2. A. wird schuldig gesprochen:</w:t>
      </w:r>
    </w:p>
    <w:p>
      <w:r>
        <w:t>− der mehrfachen Urkundenfälschung im Amt im Sinne von Art. 317 Ziff. 1 Abs. 2 StGB hinsichtlich von -- 134 Visumantragsformularen mit Visumstickerbelegen, lautend auf omani- sche Staatsbürger; -- 134 Passseitenkopien omanischer Staatsbürger mit Visumstickerkopien; − der mehrfachen Vorteilsannahme im Sinne von Art. 322sexies StGB gemäss An- klageschrift Ziff. 3 Abs. 5 und Anklageergänzung vom 7. März 2007.</w:t>
      </w:r>
    </w:p>
    <w:p>
      <w:r>
        <w:t>3. A. wird bestraft mit 11 Monaten Freiheitsstrafe. Es wird ihm der bedingte Strafvoll- zug mit einer Probezeit von 2 Jahren gewährt.</w:t>
      </w:r>
    </w:p>
    <w:p>
      <w:r>
        <w:t>4. A. wird zu einer Ersatzforderung im Sinne von Art. 59 Ziff. 2 StGB a.F. von Fr. 50'000.– gegenüber der Eidgenossenschaft verpflichtet, zu deren Durchset- zung der nämliche bei der Bundesanwaltschaft auf dem Postkonto Nr. 1. hinterleg- te Betrag bestimmt wird.</w:t>
      </w:r>
    </w:p>
    <w:p>
      <w:r>
        <w:t>5. A. werden an Kosten auferlegt:</w:t>
      </w:r>
    </w:p>
    <w:p>
      <w:r>
        <w:t>CHF 13'000.00 Gebühr Bundesanwaltschaft CHF 6'000.00 Gebühr Eidg. Untersuchungsrichteramt CHF 19'616.10 Auslagen der Bundesanwaltschaft CHF 16'122.00 Auslagen des Untersuchungsrichteramts CHF 8'000.00 Gerichtsgebühr CHF 110.00 Entschädigung Sachverständige CHF 62'848.10 Total</w:t>
      </w:r>
    </w:p>
    <w:p>
      <w:r>
        <w:t>- 19 - 6. Fürsprecher Georg Friedli wird für die amtliche Verteidigung mit Fr. 24’153.– (inkl. MWST) aus der Bundesstrafgerichtskasse entschädigt. Wenn der Verurteilte spä- ter dazu im Stande ist, hat er der Bundesstrafgerichtskasse dafür Ersatz zu leis- ten.</w:t>
      </w:r>
    </w:p>
    <w:p>
      <w:r>
        <w:t>7. Dem Angeklagten werden ausgehändigt:</w:t>
      </w:r>
    </w:p>
    <w:p>
      <w:r>
        <w:t>− ein Reisepass Nr. 2., lautend auf A.;</w:t>
      </w:r>
    </w:p>
    <w:p>
      <w:r>
        <w:t>− ein Schweizer Dienstpass (ungültig), lautend auf A.;</w:t>
      </w:r>
    </w:p>
    <w:p>
      <w:r>
        <w:t>− ein Füllfeder schwarz;</w:t>
      </w:r>
    </w:p>
    <w:p>
      <w:r>
        <w:t>− ein Anstellungsdossier.</w:t>
      </w:r>
    </w:p>
    <w:p>
      <w:r>
        <w:t>8. Als Beweismittel werden bei den Akten belassen:</w:t>
      </w:r>
    </w:p>
    <w:p>
      <w:r>
        <w:t>− Visa-Dokumentationskopien an C.;</w:t>
      </w:r>
    </w:p>
    <w:p>
      <w:r>
        <w:t>− A4-Blatt Schriftprobe durch D.</w:t>
      </w:r>
    </w:p>
    <w:p>
      <w:r>
        <w:t>9. Dieses Urteil wird der Bundesanwaltschaft und Fürsprecher Georg Friedli eröffnet.</w:t>
      </w:r>
    </w:p>
    <w:p>
      <w:r>
        <w:t>Im Namen der Strafkammer des Bundesstrafgerichts Der Vorsitzende Der Gerichtsschreiber</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