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SK.2004.3 vom 11. März 2005</w:t>
      </w:r>
    </w:p>
    <w:p>
      <w:r>
        <w:t>Bundesstrafgericht, 2005-03-11, DE</w:t>
      </w:r>
    </w:p>
    <w:p>
      <w:r>
        <w:rPr>
          <w:b/>
        </w:rPr>
        <w:t xml:space="preserve">Quelle: </w:t>
      </w:r>
      <w:r>
        <w:t>https://mcp.opencaselaw.ch/entscheid/bstger_SK.2004.3</w:t>
      </w:r>
    </w:p>
    <w:p>
      <w:r>
        <w:t>FR: TPF SK.2004.3 du 11 mars 2005</w:t>
      </w:r>
    </w:p>
    <w:p>
      <w:r>
        <w:t>IT: TPF SK.2004.3 del 11 marzo 2005</w:t>
      </w:r>
    </w:p>
    <w:p>
      <w:pPr>
        <w:pStyle w:val="Heading2"/>
      </w:pPr>
      <w:r>
        <w:t>Regeste</w:t>
      </w:r>
    </w:p>
    <w:p>
      <w:r>
        <w:t>gewerbsmässiger Betrug bzw. Gehilfenschaft dazu, gewerbsmässiger betrügerischer Missbrauch einer Datenverarbeitungsanlage bzw. Gehilfenschaft dazu, mehrfache Urkundenfälschung, Erschleichung einer falschen Beurkundung, Bestechen, Sich-Bestechen-Lassen, mehrfache Urkundenfälschung im Amt bzw. Gehilfenschaft dazu, mehrfache Geldwäscherei, mehrfache Verletzung des Amtsgeheimnisses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September 2004 Ziff. I/7 auf eine Entschädigungssumme von Fr. 67'768.10. Dieser um Fr. 1'000.− zu hohe Betrag entspricht nicht dem richterlichen Willen, wie er aus den Erwägungen 15.1 und 15.2 in Verbin- dung mit der Kostennote des Anwalts hervorgeht. Die Korrektur dieses Re- chenfehlers beziehungsweise die Berichtigung des Urteilsspruchs in Ziff. I/7 ist gestützt auf die Ausführungen in Erwägung 3.2 zulässig und der Ent- schädigungsanspruch von Fürsprecher Wüthrich somit auf Fr. 66'768.10 zu beziffern.</w:t>
      </w:r>
    </w:p>
    <w:p>
      <w:r>
        <w:t>5. Kosten</w:t>
      </w:r>
    </w:p>
    <w:p>
      <w:r>
        <w:t>Für das Verfahren werden keine Kosten erhoben.</w:t>
      </w:r>
    </w:p>
    <w:p>
      <w:r>
        <w:t>- 10 -</w:t>
      </w:r>
    </w:p>
    <w:p>
      <w:r>
        <w:t>Die Strafkammer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