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RR.2026.46 vom 19. Mai 2026</w:t>
      </w:r>
    </w:p>
    <w:p>
      <w:r>
        <w:t>Bundesstrafgericht, 2026-05-19, IT</w:t>
      </w:r>
    </w:p>
    <w:p>
      <w:r>
        <w:rPr>
          <w:b/>
        </w:rPr>
        <w:t xml:space="preserve">Quelle: </w:t>
      </w:r>
      <w:r>
        <w:t>https://mcp.opencaselaw.ch/entscheid/bstger_RR.2026.46</w:t>
      </w:r>
    </w:p>
    <w:p>
      <w:r>
        <w:t>FR: TPF RR.2026.46 du 19 mai 2026</w:t>
      </w:r>
    </w:p>
    <w:p>
      <w:r>
        <w:t>IT: TPF RR.2026.46 del 19 maggio 2026</w:t>
      </w:r>
    </w:p>
    <w:p>
      <w:pPr>
        <w:pStyle w:val="Heading2"/>
      </w:pPr>
      <w:r>
        <w:t>Regeste</w:t>
      </w:r>
    </w:p>
    <w:p>
      <w:r>
        <w:t>Assistenza giudiziaria internazionale in materia penale all'Italia; Decisione di estradizione (art. 55 AIMP); Domanda di estensione</w:t>
      </w:r>
    </w:p>
    <w:p>
      <w:pPr>
        <w:pStyle w:val="Heading2"/>
      </w:pPr>
      <w:r>
        <w:t>Erwägungen</w:t>
      </w:r>
    </w:p>
    <w:p>
      <w:r>
        <w:rPr>
          <w:b/>
        </w:rPr>
        <w:t>E. 1.1</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[in seguito: raccolta testi) unitamente al rego- lamento (UE) 2018/1862 del Parlamento europeo e del Consiglio del 28 novem- bre 2018 sull'istituzione, l'esercizio e l'uso del sistema d'informazione Schengen (SIS) nel settore della cooperazione di polizia e della cooperazione giudiziaria in materia penale (n. CELEX 32018R1862; Gazzetta ufficiale dell’Unione euro- pea L 312 del 7 dicembre 2018, pag. 56-106; raccolta testi, 8.4 Sviluppi dell'ac- quis di Schengen), così come, a partire dal 5 novembre 2019, le disposizioni della Convenzione del 27 settembre 1996 relativa all’estradizione tra gli Stati membri dell’Unione europea (Convenzione sull’estradizione UE; n°CELEX 41996A1023(02); Gazzetta ufficiale dell’Unione europea C 313 del 23 ottobre</w:t>
      </w:r>
    </w:p>
    <w:p>
      <w:r>
        <w:t>- 4 -</w:t>
      </w:r>
    </w:p>
    <w:p>
      <w:r>
        <w:t>1996, pag. 12-23, raccolta testi, 8.2 Allegato B) che in applicazione della Deci- sione 2003/169/GAI del Consiglio, del 27 febbraio 2003 (n° CELEX 32003D0169; Gazzetta ufficiale dell’Unione europea L 67 del 12 marzo 2003, pag. 25 e seg., raccolta testi, 8.2 Allegato B) costituiscono uno sviluppo dell’ac- quis di Schengen (ovvero gli art. 2, 6, 8, 9 e 13 nonché l’art. 1, per quanto per- tinente agli altri articoli). Restano impregiudicate disposizioni più favorevoli all’assistenza in vigore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sopra.</w:t>
      </w:r>
    </w:p>
    <w:p>
      <w:r>
        <w:rPr>
          <w:b/>
        </w:rPr>
        <w:t>E. 2</w:t>
      </w:r>
    </w:p>
    <w:p>
      <w:r>
        <w:t>Il ricorrente sostiene che l’ordine di esecuzione SIEP 3655/2025 del 4 novembre 2025, concernente la “rettifica del provvedimento di esecuzione di pene concor- renti nei confronti di condannato già detenuto emesso il 1° ottobre 2025” nonché la comunicazione di un nuovo residuo di pena complessiva di 24 anni e 11 mesi di reclusione (v. act. 1.3), conterrebbe un errore, nella misura in cui “fa decor- rere la pena dall’ 11.9.2023 quando in realtà dovrebbe essere anticipato al 31.5.2023 ovverosia dal momento in cui A. è stato posto in stato detentivo nel territorio elvetico per l’estradizione” (act. 1, pag. 2).</w:t>
      </w:r>
    </w:p>
    <w:p>
      <w:r>
        <w:rPr>
          <w:b/>
        </w:rPr>
        <w:t>E. 2.1</w:t>
      </w:r>
    </w:p>
    <w:p>
      <w:r>
        <w:t>Giusta l’art. 18 n. 3 CEEstr, nel caso di consenso all’estradizione da parte dello Stato richiesto, la Parte richiedente sarà informata del luogo e della data di con- segna e della durata della detenzione subita in vista della estradizione dall’indi- viduo richiesto. Premesso che il diritto italiano prevede il computo della deten- zione estradizionale subita all’estero sulla pena da scontare (v. sentenza del Tribunale penale federale RR.2025.91 del 7 agosto 2025 consid. 4), si rileva che non è compito dello Stato richiesto chiedere garanzie in questo ambito, le quali non sono previste nei rapporti estradizionali con le Parti contraenti alla CEEstr (sull’inapplicabilità dell’art. 14 AIMP in questa costellazione v. KESHELAVA/DANGUBIC, Commentario basilese, 2015, n. 2 ad art. 14 AIMP).</w:t>
      </w:r>
    </w:p>
    <w:p>
      <w:r>
        <w:rPr>
          <w:b/>
        </w:rPr>
        <w:t>E. 2.2</w:t>
      </w:r>
    </w:p>
    <w:p>
      <w:r>
        <w:t>In concreto, come rettamente osservato dall’UFG, se l’autorità rogante ha com- messo un errore nel calcolo per il beneficio della liberazione anticipata in Italia, legato al mancato computo della detenzione estradizionale già subita dal ricor- rente prima della sua estradizione intervenuta l’11 settembre 2023, esso dovrà essere fatto valere dinanzi alle competenti autorità italiane e non nell’ambito della presente procedura d’estensione dell’estradizione. Nella misura in cui il contestato ordine di esecuzione si basa su ulteriori sentenze di condanna ema- nate nei suoi confronti, per le quali il ricorrente non ha formulato censura alcuna, e che l’eventuale errore invocato dal ricorrente non è atto a modificare l’esito della presente procedura, nulla osta all’eseguibilità delle sentenze in questione.</w:t>
      </w:r>
    </w:p>
    <w:p>
      <w:r>
        <w:rPr>
          <w:b/>
        </w:rPr>
        <w:t>E. 3</w:t>
      </w:r>
    </w:p>
    <w:p>
      <w:r>
        <w:t>Visto quanto precede, il ricorso risulta infondato anche nel merito.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2'000.– a carico del ricorrente. Non avendo quest’ultimo eletto domicilio in Svizzera, la notifica della presente sentenza avverrà ad acta.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