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RR.2026.13 vom 16. März 2026</w:t>
      </w:r>
    </w:p>
    <w:p>
      <w:r>
        <w:t>Bundesstrafgericht, 2026-03-16, DE</w:t>
      </w:r>
    </w:p>
    <w:p>
      <w:r>
        <w:rPr>
          <w:b/>
        </w:rPr>
        <w:t xml:space="preserve">Quelle: </w:t>
      </w:r>
      <w:r>
        <w:t>https://mcp.opencaselaw.ch/entscheid/bstger_RR.2026.13</w:t>
      </w:r>
    </w:p>
    <w:p>
      <w:r>
        <w:t>FR: TPF RR.2026.13 du 16 mars 2026</w:t>
      </w:r>
    </w:p>
    <w:p>
      <w:r>
        <w:t>IT: TPF RR.2026.13 del 16 marzo 2026</w:t>
      </w:r>
    </w:p>
    <w:p>
      <w:pPr>
        <w:pStyle w:val="Heading2"/>
      </w:pPr>
      <w:r>
        <w:t>Regeste</w:t>
      </w:r>
    </w:p>
    <w:p>
      <w:r>
        <w:t>Internationale Rechtshilfe in Strafsachen an Rumänien Herausgabe von Beweismitteln (Art. 74 IRSG); Kostenvorschuss (Art. 63 Abs. 3 VwVG)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Februar 2026 letztmals die Frist bis zum 9. März 2026 zur Leistung des Kostenvorschusses in der Höhe von Fr. 4‘000.-- erstreckte (act. 7);</w:t>
      </w:r>
    </w:p>
    <w:p>
      <w:r>
        <w:t>- die Frist für die Zahlung eines Kostenvorschusses gewahrt ist, wenn der Betrag rechtzeitig zu Gunsten des Bundesstrafgerichts der Schweizerischen Post übergeben oder einem Post- oder Bankkonto in der Schweiz belastet worden ist (Art. 21 Abs. 3 VwVG);</w:t>
      </w:r>
    </w:p>
    <w:p>
      <w:r>
        <w:t>- der Beschwerdeführer mit Einladung zur Leistung des Kostenvorschusses darauf hingewiesen wurde, dass bei nicht fristgemässer Leistung des Kostenvorschusses auf die Beschwerde nicht eingetreten werde (act. 3);</w:t>
      </w:r>
    </w:p>
    <w:p>
      <w:r>
        <w:t>- der angeforderte Kostenvorschuss vom Beschwerdeführer innert der ange- setzten Frist nicht geleistet wurde (act. 8);</w:t>
      </w:r>
    </w:p>
    <w:p>
      <w:r>
        <w:t>- auf die Beschwerde deshalb androhungsgemäss nicht einzutreten ist (Art. 63 Abs. 4 VwVG i.V.m. Art. 39 Abs. 2 lit. b StBOG);</w:t>
      </w:r>
    </w:p>
    <w:p>
      <w:r>
        <w:t>- die Gerichtskosten bei diesem Ausgang des Verfahrens dem Beschwerde- führer aufzuerlegen sind (Art. 63 Abs. 1 VwVG);</w:t>
      </w:r>
    </w:p>
    <w:p>
      <w:r>
        <w:t>- die Gerichtsgebühr auf Fr. 1‘000.– festzusetzen ist (vgl. Art. 63 Abs. 5 VwVG i.V.m. Art. 73 StBOG und Art. 5 und 8 Abs. 3 lit. b des Reglements des Bundesstrafgerichts vom 31. August 2010 über die Kosten, Gebühren und Entschädigung in Bundesstrafverfahren [BStKR; SR 173.713.162]).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