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RR.2025.89 vom 21. Januar 2026</w:t>
      </w:r>
    </w:p>
    <w:p>
      <w:r>
        <w:t>Bundesstrafgericht, 2026-01-21, FR</w:t>
      </w:r>
    </w:p>
    <w:p>
      <w:r>
        <w:rPr>
          <w:b/>
        </w:rPr>
        <w:t xml:space="preserve">Quelle: </w:t>
      </w:r>
      <w:r>
        <w:t>https://mcp.opencaselaw.ch/entscheid/bstger_RR.2025.89</w:t>
      </w:r>
    </w:p>
    <w:p>
      <w:r>
        <w:t>FR: TPF RR.2025.89 du 21 janvier 2026</w:t>
      </w:r>
    </w:p>
    <w:p>
      <w:r>
        <w:t>IT: TPF RR.2025.89 del 21 gennaio 2026</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t>- 6 -</w:t>
      </w:r>
    </w:p>
    <w:p>
      <w:r>
        <w:t>Elle n’est pas liée par les conclusions des parties (art. 25 al. 6 EIMP; GLESS/SCHAFNER, Commentaire bâlois, 2015, no 43 ad art. 25 EIMP). Elle statue avec une cognition pleine sur les griefs soulevés. Elle peut, le cas échéant, porter son examen sur des points autres que ceux exposés dans le recours (arrêts du Tribunal pénal fédéral RR.2017.79 du 13 septembre 2017 consid. 4; RR.2011.81 du 21 juin 2011 consid. 5).</w:t>
      </w:r>
    </w:p>
    <w:p>
      <w:r>
        <w:rPr>
          <w:b/>
        </w:rPr>
        <w:t>E. 1.4</w:t>
      </w:r>
    </w:p>
    <w:p>
      <w:r>
        <w:t>Titulaire de la relation bancaire à propos de laquelle le MP-GE ordonne la transmission de la documentation à l’Etat requérant, la recourante dispose de la qualité pour recourir contre le prononcé entrepris (art. 80h let. b EIMP et 9a let. a OEIMP; ATF 137 IV 134 consid. 5; 118 Ib 547 consid. 1d).</w:t>
      </w:r>
    </w:p>
    <w:p>
      <w:r>
        <w:rPr>
          <w:b/>
        </w:rPr>
        <w:t>E. 1.5</w:t>
      </w:r>
    </w:p>
    <w:p>
      <w:r>
        <w:t>Interjeté le 20 juin 2025, contre deux décisions notifiées le 21 mai 2025, le recours a été déposé en temps utile (art. 80k EIMP).</w:t>
      </w:r>
    </w:p>
    <w:p>
      <w:r>
        <w:rPr>
          <w:b/>
        </w:rPr>
        <w:t>E. 1.6</w:t>
      </w:r>
    </w:p>
    <w:p>
      <w:r>
        <w:t>Le recours est recevable et il y a lieu d’entrer en matière.</w:t>
      </w:r>
    </w:p>
    <w:p>
      <w:r>
        <w:rPr>
          <w:b/>
        </w:rPr>
        <w:t>E. 2.1</w:t>
      </w:r>
    </w:p>
    <w:p>
      <w:r>
        <w:t>Dans un grief qu’il convient d’examiner en premier lieu compte tenu de son caractère formel, la recourante se plaint d’une violation de son droit d’être entendue. Elle indique que dans sa détermination au MP-GE du 10 avril 2025, elle a exposé en quoi la demande d’entraide ne répondait pas aux critères du principe de la double incrimination, a souligné le fait que la demande d’entraide ne concernait en réalité que la question du contournement allégué des sanctions européennes et a produit les trois arrêts de la Cour de justice du 2 mai 2025, arrêts qui font eux-mêmes état de l’annulation de décisions de maintien des sanctions. Elle rappelle avoir interpelé le MP-GE sur ce point le 10 avril 2025 et lui a demandé d’inviter les autorités françaises à se déterminer à ce sujet. Elle conteste en particulier le fait que les décisions entreprises sont muettes sur ce point et ce, alors que ces arguments portent sur des questions décisives pour l’issue du litige. En outre, elle s’insurge du fait que l’échange que le MP-GE a eu avec les autorités françaises le 6 juin 2025 au sujet des décisions rendues par les autorités européennes ne figureraient pas au dossier tel qu’il lui a été soumis.</w:t>
      </w:r>
    </w:p>
    <w:p>
      <w:r>
        <w:rPr>
          <w:b/>
        </w:rPr>
        <w:t>E. 2.2</w:t>
      </w:r>
    </w:p>
    <w:p>
      <w:r>
        <w:t>Le MP-GE précise qu’il peine à comprendre ce grief dès lors qu’il a abordé dans les décisions attaquées la question sous l’angle du blanchiment d’argent. Il relève en outre que les autorités françaises ont maintenu leur demande d’entraide en dépit des décisions rendues par la Cour de justice et que la recourante en a été dûment informée, la pièce en question figurant au dossier.</w:t>
      </w:r>
    </w:p>
    <w:p>
      <w:r>
        <w:t>- 7 -</w:t>
      </w:r>
    </w:p>
    <w:p>
      <w:r>
        <w:rPr>
          <w:b/>
        </w:rPr>
        <w:t>E. 2.3.1</w:t>
      </w:r>
    </w:p>
    <w:p>
      <w:r>
        <w:t>L’art. 29 al. 2 de la Constitution fédérale de la Confédération suisse du 18 avril 1999 (Cst.; RS 101) consacre le droit d’être entendu, lequel découle également du droit à un procès équitable (arI. 6 par. I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145 I 167 consid. 4.1; 145 I 73 consid. 7.2.2.1; 142 Il 218 consid. 2.3; 140 I 285 consid 6.3.1; 137 lI 266 consid. 3.2; 135 lI 286 consid. 5.1 et références citées),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Il implique également pour l’autorité l’obligation de motiver sa décision.</w:t>
      </w:r>
    </w:p>
    <w:p>
      <w:r>
        <w:rPr>
          <w:b/>
        </w:rPr>
        <w:t>E. 2.3.2</w:t>
      </w:r>
    </w:p>
    <w:p>
      <w:r>
        <w:t>Le droit d’être entendu implique l’obligation, pour l’autorité, d’indiquer dans son prononcé les motifs qui la conduisent à sa décision (ATF 147 IV 409 consid. 5.3.4; arrêts du Tribunal fédéral 6B_14/2023 du 5 février 2024 consid. 3.1.4; 1A.95/2002 du 16 juillet 2002 consid. 3.1; arrêt du Tribunal pénal fédéral RR.2022.138+RH.2022.13 du 2 novembre 2022 consid. 3.4.1 et références citées).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146 Il 335 consid. 5.1;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146 Il 335 consid. 5.1; 145 IV 99 consid. 3.1; 141 V 557 consid. 3.2.1; 134 I 83 consid. 4.1; 125 II 369 consid. 2c; 124 II 146 consid. 2a; 112 la 107 consid. 2b).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w:t>
      </w:r>
    </w:p>
    <w:p>
      <w:r>
        <w:t>- 8 -</w:t>
      </w:r>
    </w:p>
    <w:p>
      <w:r>
        <w:t>motivation présentée est erronée (ATF 141 V 557 consid. 3.2.1). La motivation peut d’ailleurs être implicite et résulter de la décision prise dans son ensemble (ATF 141 V 557 consid. 3.2.1; arrêts du Tribunal fédéral 6B_362/2019 du 21 mai 2019 consid. 2.1 et références citées; 1B_120/2014 du 20 juin 2014 consid. 2.1 et référence citée;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arrêts du Tribunal fédéral 1C_240/2024 du 28 avril 2025 consid. 2.1; 1B_539/2019 du 19 mars 2020 consid. 3.1 et références citées).</w:t>
      </w:r>
    </w:p>
    <w:p>
      <w:r>
        <w:rPr>
          <w:b/>
        </w:rPr>
        <w:t>E. 2.3.3</w:t>
      </w:r>
    </w:p>
    <w:p>
      <w:r>
        <w:t>Lorsqu’une violation du droit d’être entendu est commise par l’autorité d’exécution, la procédure de recours auprès de la Cour de céans permet, en principe, la réparation (arrêts du Tribunal fédéral 1C_240/2024 précité consid. 2.1 et références citées;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(ATF 145 I 167 consid. 4.4 et références citées).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Il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méconnait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6e éd. 2024, n° 572, p. 497 s.).</w:t>
      </w:r>
    </w:p>
    <w:p>
      <w:r>
        <w:rPr>
          <w:b/>
        </w:rPr>
        <w:t>E. 2.4</w:t>
      </w:r>
    </w:p>
    <w:p>
      <w:r>
        <w:t>In casu, il y a lieu de relever d’abord que dans les décisions entreprises, le MP-GE a répondu à l’argumentation de la recourante selon laquelle vu que la demande d’entraide ne permettrait pas d’identifier quelle infraction préalable (selon le droit français) au blanchiment aurait été réalisée, la condition de la double incrimination ne serait pas remplie. En effet, il a rappelé que cette position va à l’encontre de la jurisprudence selon laquelle</w:t>
      </w:r>
    </w:p>
    <w:p>
      <w:r>
        <w:t>- 9 -</w:t>
      </w:r>
    </w:p>
    <w:p>
      <w:r>
        <w:t>l’autorité requérante n’a pas à préciser en quoi consiste l’infraction préalable en cas de blanchiment et qu’il est suffisant que la demande s’appuie sur des soupçons objectifs et relevant de l’ensemble des circonstances comme dans le cas d’espèce. Il a également souligné l’existence des multiples acquisitions immobilières réalisées sur de nombreuses années, l’interposition des personnes physiques et morales opacifiant ces opérations ainsi que notamment les montants importants en cause. Contrairement à ce que soutient la recourante, ces éléments suffisent largement pour saisir la raison pour laquelle l’autorité d’exécution a admis non seulement la demande d’entraide mais également la transmission des pièces à l’autorité requérante.</w:t>
      </w:r>
    </w:p>
    <w:p>
      <w:r>
        <w:rPr>
          <w:b/>
        </w:rPr>
        <w:t>E. 2.5</w:t>
      </w:r>
    </w:p>
    <w:p>
      <w:r>
        <w:t>Ensuite, il convient de souligner que la recourante a eu pleinement accès à l’échange du 6 juin 2025 que le MP-GE a eu avec les autorités françaises s’agissant des arrêts de la Cour de justice de l’Union européenne et de leur impact sur la procédure d’entraide (act. 15.1; 17; 18). Par ailleurs, dans sa réplique, le MP-GE a expressément spécifié les raisons pour lesquelles, en dépit desdites décisions européennes, il y avait lieu de continuer la procédure d’entraide. Aussi, sur ce point également, la recourante a été dûment informée des raisons pour lesquelles le MP-GE a tranché comme il l’a fait. Il ne saurait donc y avoir sur ce point non plus violation de son droit d’être entendue. Si par impossible tel devait être le cas de la part du MP-GE, – ce qui est ici contesté –, toute violation aurait été dûment guérie devant l’autorité de céans.</w:t>
      </w:r>
    </w:p>
    <w:p>
      <w:r>
        <w:rPr>
          <w:b/>
        </w:rPr>
        <w:t>E. 2.6</w:t>
      </w:r>
    </w:p>
    <w:p>
      <w:r>
        <w:t>Sur ce vu, le grief d’une violation du droit d’être entendu est écarté dans son entier.</w:t>
      </w:r>
    </w:p>
    <w:p>
      <w:r>
        <w:rPr>
          <w:b/>
        </w:rPr>
        <w:t>E. 3.1</w:t>
      </w:r>
    </w:p>
    <w:p>
      <w:r>
        <w:t>La recourante soutient ensuite que le principe de la double incrimination n’est en l’occurrence pas respecté. Selon elle, on ne parvient pas à comprendre ici quel crime préalable aurait été commis hormis celui d’infractions fiscales ou douanières. Elle souligne que l’enquête française fait suite à la mise sous sanctions européennes de D.et E. à la suite de l’invasion de l’Ukraine par la Russie. Ces sanctions sont intervenues le 9 mars 2022 et les mesures de gel des avoirs français concernés ont été prises en France le 11 mars 2022. Or, l’autorité requérante allèguerait que les acquisitions et transferts de propriétés intervenus s’analyseraient comme des contournements manifestes des décisions de sanctions. La recourante indique en outre que la demande d’entraide fait strictement référence à des infractions douanières ou de droit administratif à l’exclusion de la violation de toute autre norme. Elle rappelle également que les sanctions contre D. et E. ont été annulées le 2 avril 2025, et ce pour les mêmes faits que ceux figurant dans la demande</w:t>
      </w:r>
    </w:p>
    <w:p>
      <w:r>
        <w:t>- 10 -</w:t>
      </w:r>
    </w:p>
    <w:p>
      <w:r>
        <w:t>d’entraide. Les autorités requérantes n’en ont cependant pas informé les autorités suisses. Par ailleurs, dans la décision attaquée, l’autorité d’exécution éviterait soigneusement d’aborder et de traiter la question fiscale, soit in casu, le blanchiment d’argent de fraude fiscale au sens du droit français. Elle considère que, sous cet angle, les autorités requérantes n’ont pas satisfait aux conditions restrictives posées en cas d’escroquerie fiscale. On ignore en particulier à quel montant sont évalués les impôts potentiellement soustraits par période fiscale, ce qui justifierait le rejet de la demande d’entraide.</w:t>
      </w:r>
    </w:p>
    <w:p>
      <w:r>
        <w:rPr>
          <w:b/>
        </w:rPr>
        <w:t>E. 3.2</w:t>
      </w:r>
    </w:p>
    <w:p>
      <w:r>
        <w:t>Le MP-GE a précisé avoir considéré pour sa part que les faits présentés par l’Etat requérant pouvaient prima facie être qualifiés de blanchiment d’argent. Il relève en effet que les autorités requérantes soupçonnent que d’autres activités criminelles sont à l’origine des nombreuses opérations suspectes, notamment immobilières. Or, de jurisprudence constante, la Suisse doit pouvoir accorder sa collaboration lorsque le soupçon de blanchiment est uniquement fondé sur l’existence de transactions suspectes, avec les Etats cocontractant de la CBI, notamment lorsqu’on est en présence de transactions dénuées de justification apparente ou d’utilisation de nombreuses sociétés réparties dans plusieurs pays.</w:t>
      </w:r>
    </w:p>
    <w:p>
      <w:r>
        <w:rPr>
          <w:b/>
        </w:rPr>
        <w:t>E. 3.3.1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t>- 11 -</w:t>
      </w:r>
    </w:p>
    <w:p>
      <w:r>
        <w:rPr>
          <w:b/>
        </w:rPr>
        <w:t>E. 3.3.2</w:t>
      </w:r>
    </w:p>
    <w:p>
      <w:r>
        <w:t>Selon l’art. 305bis ch. 1 CP (blanchiment d’argent), sera puni d’une peine privative de liberté de trois ans au plus ou d’une peine pécuniaire, celui qui aura commis un acte propre à entraver l’identification de l’origine, la découverte ou la confiscation de valeurs patrimoniales dont il savait ou devait présumer qu’elles provenaient d’un crime (art. 10 al. 2 CP) ou d’un délit fiscal qualifié. Sont considérés comme des délits fiscaux qualifiés au sens de l’art. 305bis ch. 1bis CP les infractions aux art. 186 LIFD et 59 de la loi fédérale sur l’harmonisation des impôts directs des cantons et des communes [LHID; 642.14], lorsque les impôts soustraits par période fiscale se montent à plus de CHF 300’000.--.</w:t>
      </w:r>
    </w:p>
    <w:p>
      <w:r>
        <w:rPr>
          <w:b/>
        </w:rPr>
        <w:t>E. 3.3.3</w:t>
      </w:r>
    </w:p>
    <w:p>
      <w:r>
        <w:t>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1C_722/2020 du 20 janvier 2021 consid. 2.6; 1C_126/2014 du 16 mai 2014 consid. 4.4; 1A.231/2003 du 6 février 2004 consid. 5.3; TPF 2011 194 consid. 2.1 in fine; v. ég. ZIMMERMANN, op. cit., no 739). Envers les Etats cocontractants de la CBl et de l’UNCAC (v. supra consid. 1.1),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3.4</w:t>
      </w:r>
    </w:p>
    <w:p>
      <w:r>
        <w:t>En l’espèce, il ressort en particulier de la demande d’entraide que D. et E., ressortissants russes auraient, entre 2015 et 2022, eu recours à un montage complexe pour dissimuler qu’ils étaient les bénéficiaires effectifs des opérations immobilières effectuées notamment par le truchement de deux sociétés soit A. Ltd et B. Ltd. L’autorité requérante soupçonne que le schéma d’acquisitions multiples ainsi que d’interpositions de personnes physiques et morales avait pour but de dissimuler les réels bénéficiaires des opérations immobilières. Le financement de ces opérations par A. Ltd et B. Ltd et plus particulièrement les prêts octroyés entre les sociétés non liées apparaissent suspects. Par ailleurs, l’enquête a permis de révéler que D. qui détenait B. Ltd en dernier lieu avait cédé, le 4 mars 2022, l’intégralité des parts de cette dernière société pour un montant de EUR 120 millions à un dénommé H. qui</w:t>
      </w:r>
    </w:p>
    <w:p>
      <w:r>
        <w:t>- 12 -</w:t>
      </w:r>
    </w:p>
    <w:p>
      <w:r>
        <w:t>a secondé D. dans la société de 2008 à 2022. Cette transaction est intervenue quelques jours avant les mesures de gel de ses avoirs français prises en application de directives européennes suite à l’invasion de l’Ukraine en 2022. Pour sa part, la recourante s’est portée directement acquéreur de deux biens immobiliers en France le 21 février 2019 et le 27 août 2019. Quant à D., il a acheté différents biens immobiliers dans l’Etat requérant par l’intermédiaire de sociétés, telles la recourante et B. Ltd. Il a ainsi acquis le domaine de I. en 2008 par l’intermédiaire d’une Sàrl (devenue la Sàrl J.) ayant pour associée unique la société B. Ltd. Au final, la recourante a prêté EUR 8’745’000.-- aux sociétés propriétaires du domaine de I. Seuls EUR 650’000.-- lui ont été remboursés sur un compte en Suisse lui appartenant. Le fonctionnement de tout le système paraît atypique. De fait, la recourante a prêté les fonds nécessaires à la Sàrl J. alors que son activité est sans rapport avec l’activité viticole. Au surplus, les prêts qu’elle a opérés n’ont pas été remboursés et les fonds ont été incorporés au capital social des sociétés filles. De la sorte, ce schéma financier a permis l’injection de fonds d’origine inconnue ou sans rapport avec les activités de la recourante. Cette dernière a en outre également rendu possible le financement relatif à l’achat d’autres biens immobiliers en allouant des prêts conséquents à des sociétés qui n’ont aucun lien capitalistique entre elles; ces prêts ne lui ont jamais été remboursés. De surcroît, plusieurs de ces opérations ont abouti à un contournement des sanctions mises en place dans l’Etat requérant.</w:t>
      </w:r>
    </w:p>
    <w:p>
      <w:r>
        <w:rPr>
          <w:b/>
        </w:rPr>
        <w:t>E. 3.5</w:t>
      </w:r>
    </w:p>
    <w:p>
      <w:r>
        <w:t>A l’aune du principe de la double incrimination, l’utilisation de divers sociétés et comptes en banque, répartis dans plusieurs pays et l’importance des sommes entrant en ligne de compte, comme ici, constituent des indices suffisants, permettant objectivement de retenir des soupçons de blanchiment d’argent (art. 305bis CP). En outre, rien au dossier ne permet de conclure, comme le soutient sans fondement la recourante, que les infractions investiguées par l’autorité requérante auraient exclusivement un caractère fiscal ou douanier. On relève en particulier que l’autorité requérante indique dans la demande d’entraide que ce sont des infractions relatives au blanchiment d’argent conformément au code pénal français qui entrent ici en considération. Dès lors que la réunion des éléments constitutifs objectifs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w:t>
      </w:r>
    </w:p>
    <w:p>
      <w:r>
        <w:rPr>
          <w:b/>
        </w:rPr>
        <w:t>E. 3.6</w:t>
      </w:r>
    </w:p>
    <w:p>
      <w:r>
        <w:t>Partant, le grief est infondé.</w:t>
      </w:r>
    </w:p>
    <w:p>
      <w:r>
        <w:t>- 13 -</w:t>
      </w:r>
    </w:p>
    <w:p>
      <w:r>
        <w:rPr>
          <w:b/>
        </w:rPr>
        <w:t>E. 4</w:t>
      </w:r>
    </w:p>
    <w:p>
      <w:r>
        <w:t>Au vu de ce qui précède, la remise à l’Etat requérant de la documentation bancaire telle que répertoriée dans le dispositif des prononcés entrepris est conforme au droit. Par conséquent, le recours, mal fondé, doit être rejeté.</w:t>
      </w:r>
    </w:p>
    <w:p>
      <w:r>
        <w:rPr>
          <w:b/>
        </w:rPr>
        <w:t>E. 5</w:t>
      </w:r>
    </w:p>
    <w:p>
      <w:r>
        <w:t>En règle générale, les frais de procédure comprenant l’émolument d’arrêté, les émoluments de chancellerie et les débours sont mis à la charge des parties qui succombent (art. 63 al. 1 de la loi fédérale sur la procédure administrative du 20 décembre 1968 [PA; RS 172.021], applicable par renvoi à l’art. 39 al. 2 let. b LOAP). Le montant de l’émolument est calculé en fonction de l’ampleur et de la difficulté de la cause, de la façon de procéder des parties, de leur situation financière et des frais de chancellerie (art. 73 al. 2 LOAP, art. 5 et 8 al. 3 du règlement du Tribunal pénal fédéral sur les frais, émoluments, dépens, et indemnités de la procédure pénale fédérale [RFPPF; RS 173.713.162]; v. art. 63 al. 4bis PA). En l’espèce, en tant que partie qui succombe, la recourante doit supporter les frais du présent arrêt, lesquels sont fixés à CHF 5'000.--, intégralement couverts par l’avance de frais déjà acquittée. La différence de CHF 1'000.-- sera restitué à la recourante par la Caisse du Tribunal pénal fédéral.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