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RR.2025.81 vom 1. September 2025</w:t>
      </w:r>
    </w:p>
    <w:p>
      <w:r>
        <w:t>Bundesstrafgericht, 2025-09-01, IT</w:t>
      </w:r>
    </w:p>
    <w:p>
      <w:r>
        <w:rPr>
          <w:b/>
        </w:rPr>
        <w:t xml:space="preserve">Quelle: </w:t>
      </w:r>
      <w:r>
        <w:t>https://mcp.opencaselaw.ch/entscheid/bstger_RR.2025.81</w:t>
      </w:r>
    </w:p>
    <w:p>
      <w:r>
        <w:t>FR: TPF RR.2025.81 du 1 septembre 2025</w:t>
      </w:r>
    </w:p>
    <w:p>
      <w:r>
        <w:t>IT: TPF RR.2025.81 del 1 settembre 2025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w:t>
      </w:r>
    </w:p>
    <w:p>
      <w:r>
        <w:t>- 4 -</w:t>
      </w:r>
    </w:p>
    <w:p>
      <w:r>
        <w:t>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(art. 80e cpv. 1 e 80k AIMP).</w:t>
      </w:r>
    </w:p>
    <w:p>
      <w:r>
        <w:rPr>
          <w:b/>
        </w:rPr>
        <w:t>E. 1.5</w:t>
      </w:r>
    </w:p>
    <w:p>
      <w:r>
        <w:t>Interposto tempestivamente contro la sopraccitata decisione di chiusura, il ricorso è ricevibile sotto il profilo degli art. 25 cpv. 1, 80e cpv. 1 e 80k AIMP.</w:t>
      </w:r>
    </w:p>
    <w:p>
      <w:r>
        <w:rPr>
          <w:b/>
        </w:rPr>
        <w:t>E. 1.6</w:t>
      </w:r>
    </w:p>
    <w:p>
      <w:r>
        <w:t>In base agli art. 21 cpv. 4 e 80l cpv. 1 AIMP, il gravame ha automaticamente effetto sospensivo.</w:t>
      </w:r>
    </w:p>
    <w:p>
      <w:r>
        <w:rPr>
          <w:b/>
        </w:rPr>
        <w:t>E. 1.7.1</w:t>
      </w:r>
    </w:p>
    <w:p>
      <w:r>
        <w:t>La ricevibilità del gravame presuppone tuttavia anche la legittimazione a ricor- rere del ricorrente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w:t>
      </w:r>
    </w:p>
    <w:p>
      <w:r>
        <w:t>- 5 -</w:t>
      </w:r>
    </w:p>
    <w:p>
      <w:r>
        <w:t>sufficientemente stretto con la decisione litigiosa (DTF 137 IV 134 consid. 5.2.1; 123 II 161 consid. 1 d/aa). Più concretamente, nel caso di una richiesta d’infor- mazioni su un conto bancario è considerato personalmente e direttamente toc- cato il titolare del conto (v. art. 9a lett. a OAIMP; DTF 137 IV 134 consid. 5.2.1 e 6.1, con rinvii, e 118 Ib 547 consid. 1d), così come nelle perquisizioni domici- liari questa qualità spetta al proprietario o al locatario (v. art. 9a lett. b OAIMP; DTF 137 IV 134 consid. 6.2, con rinvii).</w:t>
      </w:r>
    </w:p>
    <w:p>
      <w:r>
        <w:rPr>
          <w:b/>
        </w:rPr>
        <w:t>E. 1.7.2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Questo vale in linea di massima anche nel caso di documenti in possesso delle autorità in virtù di pregresse procedure di diritto interno e come tali ottenuti senza misure coercitive di tipo rogatoriale internazionale (TPF 2020 180 con- sid. 4.4.3; sentenza del Tribunale penale federale RR.2007.46 del 4 giugno 2007 consid. 1.6.2). È ammessa un’eccezione se all’interno di questi atti vi è documentazione bancaria: in questo caso il titolare dei conti in questione è le- gittimato a ricorrere (DTF 124 II 180 consid. 2; sentenze del Tribunale federale 1A.282/2005 del 30 aprile 2007 consid. 2.3.1 e 1A.141/1998 del 9 febbraio 1999 consid. 2a = Rep 1999 pag. 123; TPF 2007 79 consid. 1.6 pag. 82).</w:t>
      </w:r>
    </w:p>
    <w:p>
      <w:r>
        <w:rPr>
          <w:b/>
        </w:rPr>
        <w:t>E. 1.7.3</w:t>
      </w:r>
    </w:p>
    <w:p>
      <w:r>
        <w:t>In concreto, nella misura in cui parte della documentazione cartacea e informa- tica litigiosa è frutto della perquisizione presso il domicilio a Lugano del ricor- rente, la legittimazione di quest’ultimo è data. Ciò non è per contro il caso per quanto riguarda la documentazione litigiosa prelevata dai locali della B. SA, dato che il ricorrente, che ha interposto il presente gravame a suo nome e non a nome della B. SA (in qualità di amministratore della stessa), non ha minima- mente dimostrato di essere egli stesso proprietario o locatario degli spazi og- getto delle misure. Il fatto che egli abbia partecipato alla cernita della documen- tazione ivi raccolta nulla muta alla luce dell’art. 9a lett. b OAIMP. In sede di replica, il MPC ha inoltre informato questa Corte che la suddetta società, dive- nuta C. SA, con sede a Ginevra (v. act. 1, pag. 2; ), è stata dichiarata fallita dal Tribunale di prima istanza del Canton Ginevra con effetto al 1° aprile 2025 (v. act. 7, pag. 2), come attestato dal Registro di commercio ginevrino. L’entrata nel merito avverrà quindi nei predetti limiti processuali.</w:t>
      </w:r>
    </w:p>
    <w:p>
      <w:r>
        <w:t>- 6 -</w:t>
      </w:r>
    </w:p>
    <w:p>
      <w:r>
        <w:rPr>
          <w:b/>
        </w:rPr>
        <w:t>E. 2</w:t>
      </w:r>
    </w:p>
    <w:p>
      <w:r>
        <w:t>Il ricorrente sostiene che le ricostruzioni contabili necessarie ai fini dell’inchiesta penale italiana sarebbero già ampiamente documentate e complete, per cui la richiesta di ulteriori documenti cartacei e informatici, in gran parte già in pos- sesso dell’autorità estera a seguito di pregresse trasmissioni rogatoriali di do- cumentazione bancaria, sarebbe abusiva e lesiva del principio della proporzio- nalità, costituendo finanche una fishing expedition volta alla ricerca e all’acqui- sizione di documentazione senza la necessaria connessione materiale con l’og- getto del procedimento estero. Facendo riferimento alla cernita avvenuta il 10 febbraio 2025, in occasione della quale egli ha preso posizione sulla docu- mentazione litigiosa (v. act. 1.6), e criticando in particolare la ricerca di prove sulla base di semplici parole chiave, egli chiede che non venga trasmessa all’autorità rogante documentazione concernente terzi estranei all’inchiesta ita- liana, questo anche in ossequio al segreto degli affari e bancario. In caso con- trario, ogni riferimento a terze persone fisiche o giuridiche sarebbe da anoni- mizzare.</w:t>
      </w:r>
    </w:p>
    <w:p>
      <w:r>
        <w:rPr>
          <w:b/>
        </w:rPr>
        <w:t>E. 2.1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(DTF 129 II 462 consid. 5.5; 124 II 180 consid. 3c inedito; 121 II 241 consid. 3b e c; sentenze del Tribunale federale 1A.177/2006 del 10 dicembre 2007 consid. 5.5; 1A.227/2006 del 22 febbraio 2007 consid. 3.2; 1A.195/2005 del 1° settembre</w:t>
      </w:r>
    </w:p>
    <w:p>
      <w:r>
        <w:t>- 7 -</w:t>
      </w:r>
    </w:p>
    <w:p>
      <w:r>
        <w:t>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permette altresì di evitare che l’autorità estera sia se del caso costretta a ricorrere all’inoltro di rogatorie complementari (DTF 136 IV 82 consid. 4.1; 121 II 241 consid. 3; sentenza del Tribunale fede- rale 1C_486/2008 dell'11 novembre 2008 consid. 2.4; sentenza del Tribunale penale federale RR.2011.113 del 28 luglio 2011 consid. 4.2), con evidente in- 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 presi quelli di cui l'autorità estera non sospetta neppure l'esistenza. Non si tratta soltanto di aiutare lo Stato richiedente a provare i fatti già emersi, ma di svelarne altri, se ne esistono. Ne deriva, per l'autorità d'esecuzione, un dovere di esau- stività che giustifica la comunicazione di tutti gli elementi da essa raccolti e po- tenzialmente idonei alle indagini estere, al fine di chiarire in tutti i suoi aspetti i meccanismi delittuosi sotto la lente degli inquirenti esteri (sentenze del Tribu- nale penale federale RR.2010.173 del 13 ottobre 2010 consid. 4.2.4/a e RR.2009.320 del 2 febbraio 2010 consid. 4.1). Vietata è per contro la cosiddetta fishing expedition, la quale è definita dalla giurisprudenza una ricerca generale e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w:t>
      </w:r>
    </w:p>
    <w:p>
      <w:r>
        <w:t>- 8 -</w:t>
      </w:r>
    </w:p>
    <w:p>
      <w:r>
        <w:t>casaccio nella raccolta delle prove (DTF 113 Ib 257 consid. 5c; sentenza del Tribunale penale federale RR.2017.21 dell'8 maggio 2017 consid. 3.1).</w:t>
      </w:r>
    </w:p>
    <w:p>
      <w:r>
        <w:rPr>
          <w:b/>
        </w:rPr>
        <w:t>E. 2.2</w:t>
      </w:r>
    </w:p>
    <w:p>
      <w:r>
        <w:t>In concreto, nella sua rogatoria l’autorità estera ha chiaramente spiegato il ruolo del ricorrente e della B. SA nell’ambito della frode carosello all’IVA, indicando come “l'attività della predetta associazione a delinquere ha ruotato/ruota attorno alla figura centrale di A. e della citata società di diritto svizzero B. SA, trattandosi quest'ultimo del soggetto giuridico che dall'estero ha effettuato formalmente gli acquisti della merce (nella specie, metalli) destinata ai citati beneficiari finali. Quanto all'individuazione del profitto del reato associativo, da sottoporre a con- fisca, va premesso che le società cartiere sono come noto scatole vuote, gene- rate al solo fine di emettere fatture per operazioni oggettivamente inesistenti funzionali al compimento della frode. Le predette società infatti non sostengono di fatto alcuna reale operazione commerciale, né in ingresso, né in uscita, as- solvendo la sola funzione di emettere fatture verso le società buffer, al solo fine di abbattere il debito di imposta maturato da queste ultime. Nel caso di specie, è stato invece accertato dalla P.G. delegata – dato assolutamente ingiustificato da un punto di vista economico e fiscale – l'esistenza di una serie di bonifici in uscita dai Conti corrente delle medesime società cartiere ed in entrata verso i Conti correnti esteri delle società conduit (tra queste ultime anche la B. SA, gestite per l'appunto da A., ovvero uno dei componenti del sodalizio criminoso in esame); poiché le predette società cartiere non sostengono realmente alcun costo non è possibile ravvisare, dietro i predetti bonifici bancari, altra finalità se non quella di veicolare in tal modo il profitto dell'associazione per delinquere verso conti correnti radicati in paesi esteri ove il denaro è più difficilmente ag- gredibile ed è più facilmente fruibile da parte dei vari componenti dell'associa- zione. In particolare, dal 1.10.2019 all'1.06.2023 la B. SA (…) ha ricevuto da tre società cartiere bonifici bancari per un importo complessivo di euro 3.791.391.28: somma che (…) è da considerarsi una parte del profitto conse- guito dall'associazione in esame” (atto 01-00-0002 e seg. incarto MPC). Alla luce di quanto precede, l'utilità potenziale della documentazione litigiosa è cer- tamente data, a prescindere dal fatto che alcuni documenti possano già essere in possesso dello Stato richiedente. Come previsto dalla giurisprudenza (v. su- pra consid. 2.1), vista la natura dei reati ipotizzati, tutta la documentazione liti- giosa va trasmessa alle autorità italiane, affinché queste possano ricostruire tutti i flussi di denaro di potenziale origine criminale. Per quanto riguarda la docu- mentazione cartacea, la cernita è avvenuta alla presenza delle autorità estere (v. atto 04-00-0005 e segg. incarto MPC), le quali hanno indicato ciò che era d’interesse per la loro inchiesta (v. atto 06.01-0034 e segg. incarto MPC). Per quanto attiene alla documentazione informatica, il MPC ha proceduto mediante parole chiave fornite dall’autorità rogante (v. atto 06-01-0024 e segg. incarto MPC), procedura che questa Corte ritiene ossequiosa del principio della pro- porzionalità (v. sentenze del Tribunale penale federale RR.2021.1 del 18 marzo 2021 consid. 3.2; RR.2021.139 dell’11 novembre 2021 consid. 2.1.2). Non</w:t>
      </w:r>
    </w:p>
    <w:p>
      <w:r>
        <w:t>- 9 -</w:t>
      </w:r>
    </w:p>
    <w:p>
      <w:r>
        <w:t>potendo escludere che anche altre persone fisiche e/o giuridiche ancora sco- nosciute agli inquirenti esteri possano risultare coinvolte nella vicenda, la richie- sta di anonimizzazione dei documenti litigiosi deve essere disattesa, visto che in questo ambito gli interessi del procedimento penale prevalgono sui segreti d’affari (v. sentenza del Tribunale federale 1B_108 e 110/2020 del 25 novembre 2020 consid. 3.3 e sentenza del Tribunale penale federale RR.2021.117-120 del 19 ottobre 2022 consid. 4.5.2), come del resto sul segreto bancario (DTF 127 II 151 consid. 4c/aa; 125 II 83 consid. 5; 123 II 153 consid. 7; sentenze del Tribunale penale federale RR.2021.77 del 22 giugno 2021 consid. 3.2; RR.2011.3 del 21 marzo 2011 consid. 5; BODMER/KLEINER/LUTZ, Kommentar zum Bundesgesetz über die Banken und Sparkassen, 2015, n. 130 ad art. 47 LBCR). Sotto il profilo dell’utilità potenziale è infine comprensibile che l’autorità inquirente voglia disporre anche di tutte le informazioni necessarie per acclarare la situazione economica dell’imputato nel suo complesso, compresa quindi la documentazione fiscale e altre informazioni relative al tenore di vita suo e della sua famiglia.</w:t>
      </w:r>
    </w:p>
    <w:p>
      <w:r>
        <w:t>Spetterà comunque al giudice estero del merito valutare se dalla documenta- zione inoltrata emerge in concreto una connessione penalmente rilevante fra i fatti oggetto della procedura penale in Italia e la stessa documentazione. In de- finitiva, la trasmissione di quest'ultima rispetta il principio della proporzionalità e non costituisce una ricerca indiscriminata di mezzi di prova.</w:t>
      </w:r>
    </w:p>
    <w:p>
      <w:r>
        <w:rPr>
          <w:b/>
        </w:rPr>
        <w:t>E. 3</w:t>
      </w:r>
    </w:p>
    <w:p>
      <w:r>
        <w:t>In conclusione, nella misura della sua ammissibilità, il ricorso va respinto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5'000.–, a carico del ricorrente;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