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RR.2025.57 vom 19. Mai 2025</w:t>
      </w:r>
    </w:p>
    <w:p>
      <w:r>
        <w:t>Bundesstrafgericht, 2025-05-19, FR</w:t>
      </w:r>
    </w:p>
    <w:p>
      <w:r>
        <w:rPr>
          <w:b/>
        </w:rPr>
        <w:t xml:space="preserve">Quelle: </w:t>
      </w:r>
      <w:r>
        <w:t>https://mcp.opencaselaw.ch/entscheid/bstger_RR.2025.57</w:t>
      </w:r>
    </w:p>
    <w:p>
      <w:r>
        <w:t>FR: TPF RR.2025.57 du 19 mai 2025</w:t>
      </w:r>
    </w:p>
    <w:p>
      <w:r>
        <w:t>IT: TPF RR.2025.57 del 19 maggio 2025</w:t>
      </w:r>
    </w:p>
    <w:p>
      <w:pPr>
        <w:pStyle w:val="Heading2"/>
      </w:pPr>
      <w:r>
        <w:t>Regeste</w:t>
      </w:r>
    </w:p>
    <w:p>
      <w:r>
        <w:t>Entraide judiciaire internationale en matière pénale à la France; remise de moyens de preuve (art. 74 EIMP)</w:t>
      </w:r>
    </w:p>
    <w:p>
      <w:pPr>
        <w:pStyle w:val="Heading2"/>
      </w:pPr>
      <w:r>
        <w:t>Volltext</w:t>
      </w:r>
    </w:p>
    <w:p>
      <w:r>
        <w:t>Arrêt du 19 mai 2025 Cour des plaintes Composition</w:t>
      </w:r>
    </w:p>
    <w:p>
      <w:r>
        <w:t>Les juges pénaux fédéraux Roy Garré, président, Giorgio Bomio-Giovanascini et Nathalie Zufferey, la greffière Julienne Borel</w:t>
      </w:r>
    </w:p>
    <w:p>
      <w:r>
        <w:t>Parties</w:t>
      </w:r>
    </w:p>
    <w:p>
      <w:r>
        <w:t>A. AG, représentée par Me Sébastien Desfayes, recourante</w:t>
      </w:r>
    </w:p>
    <w:p>
      <w:r>
        <w:t>contre</w:t>
      </w:r>
    </w:p>
    <w:p>
      <w:r>
        <w:t>MINISTÈRE PUBLIC DU CANTON DE GENÈVE,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RR.2025.57</w:t>
      </w:r>
    </w:p>
    <w:p>
      <w:r>
        <w:t>- 2 -</w:t>
      </w:r>
    </w:p>
    <w:p>
      <w:r>
        <w:t>La Cour des plaintes, vu:</w:t>
      </w:r>
    </w:p>
    <w:p>
      <w:r>
        <w:t>- la demande d’entraide des autorités françaises adressée le 2 août 2024 à la Suisse pour les besoins d’une enquête ouverte pour « escroquerie commise en bande organisée et le blanchiment de cette escroquerie » dans une affaire de fraudes à l’investissement en cryptomonnaie (in act. 1.1, p. 1; 1.16),</w:t>
      </w:r>
    </w:p>
    <w:p>
      <w:r>
        <w:t>- la décision de clôture partielle du 13 mars 2024 du Ministère public du canton de Genève (ci-après: MP-GE), autorité d’exécution, par laquelle il ordonne notamment la transmission à l’Etat requérant de la documentation bancaire remise les 22 novembre 2023 et 23 janvier 2024 par la banque B. relative au compte n° 1 détenu par C. Ltd, société britannique sise à Londres, laquelle figure dans le dossier P/19116/2024,</w:t>
      </w:r>
    </w:p>
    <w:p>
      <w:r>
        <w:t>- le recours de A. AG interjeté le 9 avril 2025 contre le prononcé précité, la décision d’exécution partielle prononcée par le MP-GE le 31 janvier 2025 et la décision d’entrée en matière du MP-GE du 9 janvier 2025 et concluant, en substance, à l’annulation de ces trois décisions (act. 1),</w:t>
      </w:r>
    </w:p>
    <w:p>
      <w:r>
        <w:t>et considérant:</w:t>
      </w:r>
    </w:p>
    <w:p>
      <w:r>
        <w:t>que l’entraide judiciaire entre la France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w:t>
      </w:r>
    </w:p>
    <w:p>
      <w:r>
        <w:t>que peuvent également s’appliquer, en l’occurrence, la Convention européenne relative au blanchiment, au dépistage, à la saisie et à la confiscation des produits du crime (CBl; RS 0.311.53), entrée en vigueur pour la Suisse le 1er septembre 1993 et pour la France le 1er février 1997, et la Convention des Nations Unies contre la corruption du 31 octobre 2003 (UNCAC; RS 0.311.56), entrée en vigueur pour la Suisse le 24 octobre 2009 et pour la France le 14 décembre 2005, en particulier, s’agissant du blanchiment d’argent (indépendamment de la nature du crime</w:t>
      </w:r>
    </w:p>
    <w:p>
      <w:r>
        <w:t>- 3 -</w:t>
      </w:r>
    </w:p>
    <w:p>
      <w:r>
        <w:t>préalable), les art. 43 ss, en particulier l’art. 46, par renvoi des art. 14 et 23;</w:t>
      </w:r>
    </w:p>
    <w:p>
      <w:r>
        <w:t>que les dispositions des traités précités l’emportent sur le droit interne qui régit la matière, soit la loi fédérale sur l’entraide internationale en matière pénale (EIMP; RS 351.1) et son ordonnance d’exécution (OEIMP; RS 351.11), le droit interne restant toutefois applicable aux questions non réglées, explicitement ou implicitement, par les traités et lorsqu’il est plus favorable à l'entraide (ATF 145 IV 294 consid. 2.1; 142 IV 250 consid. 3; 140 IV 123 consid. 2; 137 IV 33 consid. 2.2.2; 129 II 462 consid. 1.1; 124 II 180 consid. 1.3);</w:t>
      </w:r>
    </w:p>
    <w:p>
      <w:r>
        <w:t>qu’en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qu’aux termes de l’art. 80h let. b EIMP, a qualité pour recourir en matière d’entraide quiconque est personnellement et directement touché par une mesure d’entraide et a un intérêt digne de protection à ce qu’elle soit annulée ou modifiée; que précisant cette disposition, l’art. 9a let. a OEIMP reconnaît au titulaire d’un compte bancaire la qualité pour recourir contre la remise à l’Etat requérant d’informations relatives à ce compte (ATF 137 IV 134 consid. 5; 118 Ib 547 consid. 1d);</w:t>
      </w:r>
    </w:p>
    <w:p>
      <w:r>
        <w:t>que de jurisprudence constante, l’ayant droit économique d’un compte bancaire n’a pas la qualité pour recourir contre la transmission de pièces concernant ledit compte (ATF 122 II 130 consid. 2b);</w:t>
      </w:r>
    </w:p>
    <w:p>
      <w:r>
        <w:t>que la jurisprudence dénie, par exemple, au détenteur économique (actionnaire d’une société anonyme ou fiduciant) d’un compte bancaire faisant l’objet d’investigations, la qualité pour recourir (ATF 122 II 130 ibid.);</w:t>
      </w:r>
    </w:p>
    <w:p>
      <w:r>
        <w:t>que la recourante allègue être titulaire du compte n° 1;</w:t>
      </w:r>
    </w:p>
    <w:p>
      <w:r>
        <w:t>qu’elle explique notamment que ledit compte sert à réceptionner les fonds de ses clients qui exploitent des plateformes d’échanges de cryptomonnaies (act. 1, p. 6), qu’elle a sollicité l’ouverture d’un payment account auprès de C. Ltd; que les fonds sont détenus en sous-comptes individualisés auprès de la banque B.; que ledit sous- compte est spécialement ouvert au nom de la recourante à qui un code client unique est assigné; que C. Ltd s’engage à séparer les sous-comptes et à suivre la réglementation applicable à cet effet; que les fonds de la recourante sont séparés des fonds de C. Ltd et des autres clients; que C. Ltd agit en tant que prestataire de service de paiement réglementé, en surveillant les fonds et en exécutant les</w:t>
      </w:r>
    </w:p>
    <w:p>
      <w:r>
        <w:t>- 4 -</w:t>
      </w:r>
    </w:p>
    <w:p>
      <w:r>
        <w:t>transactions données par la recourante (act. 1, p. 7 s.);</w:t>
      </w:r>
    </w:p>
    <w:p>
      <w:r>
        <w:t>que la recourante fait valoir qu’elle produit un certain nombre de pièces qui n’avaient pas été produites dans la procédure RR.2024.70 dans laquelle son recours avait été déclaré irrecevable (arrêt du Tribunal pénal fédéral RR.2024.70 du 13 septembre 2024);</w:t>
      </w:r>
    </w:p>
    <w:p>
      <w:r>
        <w:t>qu’il ressort toutefois du dossier que la recourante est uniquement ayant droit économique de la relation bancaire visée et qu’elle n’a aucune relation commerciale avec la banque B.: « Im Zusammenhang mit dem rubrizierten Konto wird bei [Bank B.] ein Kundenstamm lautend auf die [C. Ltd] geführt. [C. Ltd] ist Vertragspartner von [Bank B.]. Für die [C. Ltd] werden bei [Bank B.] Unterkonten geführt, welche u.a. auf [A. AG] lauten (rubriziertes Konto). Vertragspartner von [A. AG] ist [C. Ltd.]. [A. AG] bzw. deren Kontrollinhaber und Eigentümer sind an den für diese Gesellschaft geführten Unterkonten wirtschaftlich berechtigt » (act. 1.4, in 1Clé USB / reçu ordre de dépôt 1 / 0_20231122_Antwortschreiben Editionsbegehren STA GE [lettre de la banque B. au MP-GE du 22 novembre 2023, p. 1]);</w:t>
      </w:r>
    </w:p>
    <w:p>
      <w:r>
        <w:t>que dans ces conditions, on ne saurait retenir que la recourante est titulaire du compte visé par l’entraide, C. Ltd agissant fiduciairement pour ses clients;</w:t>
      </w:r>
    </w:p>
    <w:p>
      <w:r>
        <w:t>que comme énoncé supra, le détenteur économique fiduciant d’un compte bancaire, soit en l’espèce la recourante, n’a pas la qualité pour recourir contre la transmission de pièces concernant ledit compte;</w:t>
      </w:r>
    </w:p>
    <w:p>
      <w:r>
        <w:t>qu’il s’ensuit que le recours doit être déclaré irrecevable;</w:t>
      </w:r>
    </w:p>
    <w:p>
      <w:r>
        <w:t>que compte tenu de l’irrecevabilité manifeste du recours, il a été renoncé à procéder à un échange d’écritures (v. art. 57 al. 1 a contrario de la loi fédérale sur la procédure administrative [PA; RS 172.021], applicable par renvoi de l’art. 39 al. 2 let. b LOAP);</w:t>
      </w:r>
    </w:p>
    <w:p>
      <w:r>
        <w:t>que les frais de procédure sont mis à la charge de la partie qui succombe (art. 63 al. 1 PA, applicable par renvoi de l’art. 39 al. 2 let. b LOAP);</w:t>
      </w:r>
    </w:p>
    <w:p>
      <w:r>
        <w:t>que la partie dont le recours est déclaré irrecevable est également considérée avoir succombé;</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2'000.-- (v. art. 73 al. 2 LOAP et art. 8 al. 3 du règlement</w:t>
      </w:r>
    </w:p>
    <w:p>
      <w:r>
        <w:t>- 5 -</w:t>
      </w:r>
    </w:p>
    <w:p>
      <w:r>
        <w:t>du Tribunal pénal fédéral sur les frais, émoluments, dépens et indemnités de la procédure pénale fédérale [RFPPF; RS 173.713.162]; art. 63 al. 5 PA), lesquels sont entièrement couverts par l’avance de frais déjà versée, étant précisé que le solde de CHF 3'000.-- lui sera restitué par la Caisse du Tribunal pénal fédéral.</w:t>
      </w:r>
    </w:p>
    <w:p>
      <w:r>
        <w:t>- 6 -</w:t>
      </w:r>
    </w:p>
    <w:p>
      <w:r>
        <w:t>Par ces motifs, la Cour des plaintes prononce:</w:t>
      </w:r>
    </w:p>
    <w:p>
      <w:r>
        <w:t>1. Le recours est irrecevable.</w:t>
      </w:r>
    </w:p>
    <w:p>
      <w:r>
        <w:t>2. Un émolument de CHF 2'000.--, réputé couvert par l’avance de frais acquittée, est mis à la charge de A. AG. Le solde de l’avance de frais, soit CHF 3'000.--, sera restitué à la recourante par la Caisse du Tribunal pénal fédéral.</w:t>
      </w:r>
    </w:p>
    <w:p>
      <w:r>
        <w:t>Bellinzone, le 19 mai 2025</w:t>
      </w:r>
    </w:p>
    <w:p>
      <w:r>
        <w:t>Au nom de la Cour des plaintes du Tribunal pénal fédéral</w:t>
      </w:r>
    </w:p>
    <w:p>
      <w:r>
        <w:t>Le président: La greffière:</w:t>
      </w:r>
    </w:p>
    <w:p>
      <w:r>
        <w:t>Distribution</w:t>
      </w:r>
    </w:p>
    <w:p>
      <w:r>
        <w:t>- Me Sébastien Desfayes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