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RR.2025.53 vom 7. Mai 2025</w:t>
      </w:r>
    </w:p>
    <w:p>
      <w:r>
        <w:t>Bundesstrafgericht, 2025-05-07, DE</w:t>
      </w:r>
    </w:p>
    <w:p>
      <w:r>
        <w:rPr>
          <w:b/>
        </w:rPr>
        <w:t xml:space="preserve">Quelle: </w:t>
      </w:r>
      <w:r>
        <w:t>https://mcp.opencaselaw.ch/entscheid/bstger_RR.2025.53</w:t>
      </w:r>
    </w:p>
    <w:p>
      <w:r>
        <w:t>FR: TPF RR.2025.53 du 7 mai 2025</w:t>
      </w:r>
    </w:p>
    <w:p>
      <w:r>
        <w:t>IT: TPF RR.2025.53 del 7 maggio 2025</w:t>
      </w:r>
    </w:p>
    <w:p>
      <w:pPr>
        <w:pStyle w:val="Heading2"/>
      </w:pPr>
      <w:r>
        <w:t>Regeste</w:t>
      </w:r>
    </w:p>
    <w:p>
      <w:r>
        <w:t>Auslieferung an Italien; Auslieferungsentscheid (Art. 55 IRSG); akzessorisches Haftentlassungsgesuch (Art. 50 Abs. 3 IRSG); Rechtsverweigerung/Rechtsverzögerung (Art. 46a VwVG);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sowie die hierzu ergangenen Zusatzprotokolle vom 17. März 1978 (ZPII EAUe; SR 0.353.12), vom 10. November 2010 (ZPIII EAUe; SR 0.353.13) und vom 20. September 2012 (ZPIV EAUe; SR 0.353.14) massgebend. 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EU», 8.1 Anhang A; https://www.fedlex.admin.ch/de/sector-spe- cific-agreements/EU-acts-register/8)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w:t>
      </w:r>
    </w:p>
    <w:p>
      <w:r>
        <w:t>- 5 -</w:t>
      </w:r>
    </w:p>
    <w:p>
      <w:r>
        <w:t>Beschlusses 2010/261/EU der Kommission, namentlich Art. 26–31 (CELEX- Nr. 32018R1862; ABl. L 312 vom 7. Dezember 2018, S. 56–106; abrufbar unter «Rechtssammlung zu den sektoriellen Abkommen EU», 8.4 Weiterent- wicklungen des Schengen-Besitzstands), sowie diejenigen Bestimmungen des Übereinkommens vom 27. September 1996 über die Auslieferung zwi- schen den Mitgliedstaaten der Europäischen Union (EU-Auslieferungs- übereinkommen; CELEX-Nr. 41996A1023(02); ABl. C 313 vom 23. Oktober 1996, S. 12–23), welche gemäss dem Beschluss 2003/169/JI des Rates vom 27. Februar 2003 (CELEX-Nr. 32003D0169; ABl. L 67 vom 12. März 2003, S. 25 f.; abrufbar unter «Rechtssammlung zu den sektoriellen Abkommen EU», 8.2 Anhang B) eine Weiterentwicklung des Schengen-Besitzstands darstellen. Die zwischen den Vertragsparteien geltenden weitergehenden Bestimmungen aufgrund bilateraler oder multilateraler Abkommen bleiben unberührt (Art. 59 Abs. 2 SDÜ; Art. 1 Abs. 2 EU-Auslieferungsübereinkom- 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145 IV 294 E. 2.1;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t>- 6 -</w:t>
      </w:r>
    </w:p>
    <w:p>
      <w:r>
        <w:rPr>
          <w:b/>
        </w:rPr>
        <w:t>E. 2.2</w:t>
      </w:r>
    </w:p>
    <w:p>
      <w:r>
        <w:t>Der Auslieferungsentscheid vom 24. Februar 2025 wurde dem Vertreter des Beschwerdeführers am 25. Februar 2025 zugestellt (vgl. act. 5.18). Die am 27. März 2025 erhobene Beschwerde erweist sich als fristgerecht. Die übri- gen Eintretensvoraussetzungen geben keinen Anlass zu Bemerkungen. Auf die Beschwerde ist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4.1</w:t>
      </w:r>
    </w:p>
    <w:p>
      <w:r>
        <w:t>Der Beschwerdeführer rügt eine Verletzung seines Anspruchs auf rechtli- ches Gehör und Willkür.</w:t>
      </w:r>
    </w:p>
    <w:p>
      <w:r>
        <w:t>Er macht geltend, er sei bereits aufgrund eines internationalen Haftbefehls am 29. Mai 2024 in Sarajevo, Bosnien und Herzegowina, verhaftet worden. Diese Auslieferung sei während der Sechsmonatefrist nicht nur gescheitert, das Eidgenössische Departement für auswärtige Angelegenheiten (EDA) habe sich sogar dafür einsetzen müssen, dass er nicht an die Türkei wegen anderer, politischer Delikte ausgeliefert worden sei. Sei eine Auslieferung innert der Sechsmonatefrist mangels der nötigen Voraussetzungen geschei- tert, könne dieselbe Person nicht aufgrund des nämlichen (abgelehnten) Grunds in einem anderen Land nochmals in Haft genommen oder gar aus- geliefert werden. Das gehe aus dem eingereichten Beschluss des Gerichts von Bosnien und Herzegowina vom 4. Juni 2024 hervor. Demgegenüber werde seitens der italienischen Behörden vorgebracht, die Auslieferung sei an einem prozessualen Mangel gescheitert. Insbesondere falle auf, dass die Auskunft noch eine paraphierte Korrektur aufweise. Zwischen «contempo» und «frattempo» bestehe ein etymologischer Unterschied. Das gehe aus dem Schreiben des Ministero della Giustizia vom 16. Januar 2025 hervor. Da offensichtlich seitens des Schreibens des Ministero della Giustizia und der bosnischen Behörden nicht kongruente Sachverhaltsfeststellungen vor- lägen, komme eine Auslieferung überhaupt nicht in Frage. Alles andere stelle eine Verletzung des rechtlichen Gehörs und Willkür dar (act. 1 S. 4 f.).</w:t>
      </w:r>
    </w:p>
    <w:p>
      <w:r>
        <w:t>Weiter bringt er vor, im Rahmen des Auslieferungsverfahrens seien seinem Vertreter zwar Akten bezüglich des aktuellen Auslieferungsverfahrens</w:t>
      </w:r>
    </w:p>
    <w:p>
      <w:r>
        <w:t>- 7 -</w:t>
      </w:r>
    </w:p>
    <w:p>
      <w:r>
        <w:t>zugestellt worden. Dass diese Auslieferung aufgrund des gleichen Haftbe- fehls an Italien bereits in Bosnien und Herzegowina gescheitert sei, sei we- der ihm selbst noch seinem Vertreter mitgeteilt worden. Trotz mehrfacher Nachfrage habe sein Vertreter sich den Beschluss des Gerichts von Bosnien und Herzegowina vom 4. Juni 2024 selbst beschaffen müssen, da er nicht zugestellt worden sei (act. 1 S. 5 f.).</w:t>
      </w:r>
    </w:p>
    <w:p>
      <w:r>
        <w:rPr>
          <w:b/>
        </w:rPr>
        <w:t>E. 4.2</w:t>
      </w:r>
    </w:p>
    <w:p>
      <w:r>
        <w:t>Auch im Auslieferungsverfahren gilt der Anspruch auf rechtliches Gehör (Art. 29 Abs. 2 BV). Dieser Grundsatz wird namentlich in Art. 52 Abs. 1 IRSG und Art. 17 IRSV konkretisiert. Subsidiär gelten die allgemeinen Verfahrens- garantien des VwVG, namentlich die Art. 26 ff. VwVG.</w:t>
      </w:r>
    </w:p>
    <w:p>
      <w:r>
        <w:t>Soweit der Beschwerdeführer rügt, der Beschwerdegegner habe seine Be- weisabnahmepflicht verletzt, indem er bei den Behörden von Bosnien und Herzegowina und von Italien keine weiteren Informationen zu früheren Aus- lieferungsverfahren zwischen diesen Staaten eingeholt habe, erweist sich die Rüge als unbegründet. Nach Art. 33 Abs. 1 VwVG nimmt die Behörde die ihr angebotenen Beweise ab, wenn diese zur Abklärung des Sachverhal- tes tauglich erscheinen. Hierfür massgebliches Kriterium ist, ob das Beweis- mittel geeignet ist, den rechtserheblichen Sachverhalt zu erhellen. In diesem Sinne müssen angebotene Beweise nicht abgenommen werden, wenn sie eine für die rechtliche Beurteilung unerhebliche Frage betreffen (BGE 144 II 194 E. 4.4.2 mit Hinweisen). Allfällige Entscheide von Bosnien und Herzego- wina über die Auslieferung des Beschwerdeführers sind für die schweizeri- schen Behörden nicht bindend. Das italienische Auslieferungsersuchen ist von den schweizerischen Behörden gestützt auf schweizerisches Recht und gestützt auf eigene Sachverhaltsfeststellungen zu beurteilen (vgl. TPF 2015 68 E. 8.1; Entscheid des Bundesstrafgerichts RR.2016.300 vom 28. Dezem- ber 2016 E. 6.2). Der Beschwerdegegner war daher auch nicht verpflichtet, allfällige Entscheide von Bosnien und Herzegowina über die Auslieferung des Beschwerdeführers zu beschaffen.</w:t>
      </w:r>
    </w:p>
    <w:p>
      <w:r>
        <w:t>Im Übrigen scheinen die vom Beschwerdeführer im vorliegenden Verfahren eingereichten Kopien aus Entscheiden von Bosnien und Herzegowina bzw. die eingereichten Übersetzungen – soweit nachvollziehbar – ein türkisches Auslieferungsersuchen und nur die diesbezügliche Auslieferungshaft zu be- treffen, auch wenn darin erwähnt wird, dass in einem Beschluss vom 18. No- vember 2024 entschieden worden sei, dass die gesetzlichen Voraussetzun- gen für die Auslieferung nach der Konvention nicht erfüllt seien, weil der Be- schwerdeführer in der Schweiz über Asylstatus verfüge. Neben dem türki- schen Auslieferungsersuchen scheint es auch ein italienisches Ausliefe- rungsersuchen an Bosnien und Herzegowina gegeben zu haben, das wegen</w:t>
      </w:r>
    </w:p>
    <w:p>
      <w:r>
        <w:t>- 8 -</w:t>
      </w:r>
    </w:p>
    <w:p>
      <w:r>
        <w:t>prozessualer Mängel abgelehnt worden sei. Wie es sich damit genau verhält, kann vorliegend offenbleiben, denn ein allfälliger von den Behörden von Bos- nien und Herzegowina getroffener Entscheid, den Beschwerdeführer nicht auszuliefern, ist, wie bereits erwähnt, für die schweizerischen Behörden nicht bindend und stellt kein Auslieferungshindernis dar.</w:t>
      </w:r>
    </w:p>
    <w:p>
      <w:r>
        <w:rPr>
          <w:b/>
        </w:rPr>
        <w:t>E. 4.3</w:t>
      </w:r>
    </w:p>
    <w:p>
      <w:r>
        <w:t>Nach dem Gesagten erweist sich die Beschwerde in diesem Punkt als unbe- gründet.</w:t>
      </w:r>
    </w:p>
    <w:p>
      <w:r>
        <w:rPr>
          <w:b/>
        </w:rPr>
        <w:t>E. 5.1</w:t>
      </w:r>
    </w:p>
    <w:p>
      <w:r>
        <w:t>Der Beschwerdeführer rügt eine willkürliche Beweiswürdigung. Er macht gel- tend, ihm stehe der Alibi-Beweis zu. Er habe aktenkundig nachgewiesen, dass er bis zu seiner Verhaftung in Z./ZH wohnhaft gewesen sei. Soweit das Tribunale Ordinario di Milano ihn zumindest verdächtige, der Leibwächter («guardaspalle») des Hauptverdächtigen B., welcher dauerhaft in Italien ge- wohnt habe, gewesen zu sein, sei das komplett unmöglich. Er könne gar nicht im inkriminierten Zeitpunkt als Leibwächter «geamtet» haben. «Da sich diese behauptete Tätigkeit natürlich mit der behaupten Mitgliedschaft in einer kriminellen Bande in Idealkonkurrenz steht, ebenso der behauptete Mensch- handel diese Bande» (sic). Daher sei der Alibi-Beweis gemäss Art. 47 Abs. 1 lit. b IRSG erfolgreich. Es sei daher unhaltbar und verstosse gegen die Eu- ropäische Menschenrechtskonvention, ihn aufgrund der ungenauen Kennt- nisse auszuliefern, zumal ihm aufgrund des vorgeworfenen Delikts eine lang- jährige Zuchthausstrafe drohe (act. 1 S. 6 f.).</w:t>
      </w:r>
    </w:p>
    <w:p>
      <w:r>
        <w:rPr>
          <w:b/>
        </w:rPr>
        <w:t>E. 5.2</w:t>
      </w:r>
    </w:p>
    <w:p>
      <w:r>
        <w:t>Behauptet der Verfolgte, beweisen zu können, dass er zur Zeit der Tat nicht am Tatort war, so nimmt das BJ die gebotenen Abklärungen vor (Art. 53 Abs. 1 IRSG). In klaren Fällen wird die Auslieferung verweigert. Andernfalls wird der ersuchende Staat unter Vorlage der entlastenden Beweise aufge- fordert, innert kurzer Frist zu erklären, ob er das Ersuchen aufrechterhalten will (Art. 53 Abs. 2 IRSG). Der Alibibeweis kann nur mit dem Nachweis ge- führt werden, zur fraglichen Zeit (überhaupt) nicht am Tatort gewesen zu sein. Dieser Nachweis ist unverzüglich und ohne Weiterungen zu erbringen, damit der Verfolgte sich zu entlasten und die Auslieferung zu verhindern ver- mag. Ein bloss partieller Alibibeweis, also ein solcher, der sich nur auf einen Teil des Auslieferungsersuchens bezieht, ist unerheblich (BGE 123 II 279 E. 2b).</w:t>
      </w:r>
    </w:p>
    <w:p>
      <w:r>
        <w:t>Zum einen schliesst der Umstand, seinen gewöhnlichen Wohnsitz in der Schweiz zu haben, nicht aus, dass der Beschwerdeführer in Italien (oder ir- gendwo) als Leibwächter tätig gewesen sein könnte. Zum anderen wird der</w:t>
      </w:r>
    </w:p>
    <w:p>
      <w:r>
        <w:t>- 9 -</w:t>
      </w:r>
    </w:p>
    <w:p>
      <w:r>
        <w:t>Beschwerdeführer, wie im angefochtenen Auslieferungsentscheid festgehal- ten wird, nicht nur verdächtigt, als Leibwächter von B. tätig gewesen zu sein, sondern u.a. auch, Mitglied einer kriminellen Organisation zu sein, die mit der Begehung von Straftaten im Zusammenhang mit Waffen (Besitz, mit sich führen, handeln, aber auch zur Begehung anderer Straftaten), der Beihilfe zur illegalen Einwanderung, Morden und illegalem Drogenhandel tätig sein soll, und diese Organisation, deren Chef B. sei, mit Autos, Waffen, Geld und Handys versorgt zu haben. Zu diesen weiteren Tatvorwürfen macht der Be- schwerdeführer kein Alibi geltend. Der gewöhnliche Wohnsitz in der Schweiz ist jedenfalls auch für diese Tatvorwürfe kein tauglicher Alibibeweis. Insge- samt genügen die Vorbringen des Beschwerdeführers den Anforderungen an einen Alibibeweis klar nicht.</w:t>
      </w:r>
    </w:p>
    <w:p>
      <w:r>
        <w:rPr>
          <w:b/>
        </w:rPr>
        <w:t>E. 5.3</w:t>
      </w:r>
    </w:p>
    <w:p>
      <w:r>
        <w:t>Nach dem Gesagten erweist sich die Beschwerde auch in diesem Punkt als unbegründet.</w:t>
      </w:r>
    </w:p>
    <w:p>
      <w:r>
        <w:rPr>
          <w:b/>
        </w:rPr>
        <w:t>E. 6.1</w:t>
      </w:r>
    </w:p>
    <w:p>
      <w:r>
        <w:t>Schliesslich bringt der Beschwerdeführer vor, in prozessualer Hinsicht sei aktenkundig ein Gesuch um amtliche Verteidigung gestellt worden, worüber bislang noch immer nicht entschieden worden sei (act. 1 S. 7).</w:t>
      </w:r>
    </w:p>
    <w:p>
      <w:r>
        <w:rPr>
          <w:b/>
        </w:rPr>
        <w:t>E. 6.2</w:t>
      </w:r>
    </w:p>
    <w:p>
      <w:r>
        <w:t>Der Beschwerdegegner macht diesbezüglich in seiner Beschwerdeantwort geltend, der Vertreter des Beschwerdeführers habe mit E-Mail vom 17. Ja- nuar 2025 die unentgeltliche Prozessführung beantragt. Allerdings habe sich die Eingabe auf den Satz beschränkt: «Des Weiteren beantrage unentgeld- liche Prozessführung sowie unentgeldlichen Rechtsbeistand.» Weiter sub- stantiiert oder formalisiert sei der Antrag bis zur Erstattung der Beschwerde- antwort nicht worden. Es stehe dem Vertreter jederzeit frei, dem Beschwer- degegner ein der Form und dem Inhalt entsprechendes Gesuch um unent- geltliche Verbeiständung nachzureichen, welches in der Folge durch den Be- schwerdegegner geprüft werde (act. 5 S. 4).</w:t>
      </w:r>
    </w:p>
    <w:p>
      <w:r>
        <w:rPr>
          <w:b/>
        </w:rPr>
        <w:t>E. 6.3</w:t>
      </w:r>
    </w:p>
    <w:p>
      <w:r>
        <w:t>Sinngemäss macht der Beschwerdeführer eine formelle Rechtsverweige- rung geltend. Eine formelle Rechtsverweigerung im Sinne von Art. 29 Abs. 1 BV liegt vor, wenn eine Behörde auf eine ihr frist- und formgerecht unterbrei- tete Sache nicht eintritt oder eine solche ausdrücklich bzw. stillschweigend nicht an die Hand nimmt und nicht behandelt, obschon sie darüber befinden müsste. Das Gleiche gilt, wenn einzelne Anträge oder Teile davon nicht be- handelt werden (BGE 144 II 184 E. 3.1; 135 I 6 E. 2.1; 134 I 229 E. 2.3; vgl. zuletzt u.a. Urteil des Bundesgerichts 2C_689/2022 vom 17. Januar 2025 E. 4.1).</w:t>
      </w:r>
    </w:p>
    <w:p>
      <w:r>
        <w:t>- 10 -</w:t>
      </w:r>
    </w:p>
    <w:p>
      <w:r>
        <w:rPr>
          <w:b/>
        </w:rPr>
        <w:t>E. 6.4</w:t>
      </w:r>
    </w:p>
    <w:p>
      <w:r>
        <w:t>Nach unbestrittener Sachverhaltsdarstellung des Beschwerdegegners hat der anwaltlich vertretene Beschwerdeführer mit – naturgemäss nicht eigen- händig unterzeichneter – E-Mail vom 17. Januar 2025 ohne jegliche Begrün- dung namentlich unentgeltliche Rechtsverbeiständung beantragt. Von fach- kundigen Personen, insbesondere Rechtsanwälten, kann erwartet werden, dass sie Anträge formgerecht einreichen. Ein Nachbesserungsanspruch be- steht nicht. Unter diesen Umständen ist es nicht zu beanstanden, dass der Beschwerdegegner den Antrag nicht behandelte. Die Beschwerde erweist sich auch in diesem Punkt als unbegründet. Im Übrigen teilte der Beschwer- degegner in seiner Beschwerdeantwort mit, dem Vertreter des Beschwerde- führers stehe es jederzeit frei, ihm ein der Form und dem Inhalt entsprechen- des Gesuch um unentgeltliche Verbeiständung nachzureichen, welches in der Folge durch den Beschwerdegegner geprüft werden wird.</w:t>
      </w:r>
    </w:p>
    <w:p>
      <w:r>
        <w:rPr>
          <w:b/>
        </w:rPr>
        <w:t>E. 7.1</w:t>
      </w:r>
    </w:p>
    <w:p>
      <w:r>
        <w:t>Im Rahmen seiner Beschwerde beantragt der Beschwerdeführer seine Ent- lassung aus der Auslieferungshaft.</w:t>
      </w:r>
    </w:p>
    <w:p>
      <w:r>
        <w:rPr>
          <w:b/>
        </w:rPr>
        <w:t>E. 7.2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Ausnahmsweise kann die Beschwerdekammer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w:t>
      </w:r>
    </w:p>
    <w:p>
      <w:r>
        <w:rPr>
          <w:b/>
        </w:rPr>
        <w:t>E. 7.3</w:t>
      </w:r>
    </w:p>
    <w:p>
      <w:r>
        <w:t>Da die Auslieferung des Beschwerdeführers nach dem oben Ausgeführten bewilligt werden kann, ist das akzessorische Haftentlassungsgesuch abzu- weisen. Das Vorbringen des Beschwerdeführers, es sei nicht ersichtlich, wo- hin er sich denn absetzen könne, rechtfertigt vorliegend keine Haftentlas- sung.</w:t>
      </w:r>
    </w:p>
    <w:p>
      <w:r>
        <w:t>- 11 -</w:t>
      </w:r>
    </w:p>
    <w:p>
      <w:r>
        <w:t>8.</w:t>
      </w:r>
    </w:p>
    <w:p>
      <w:r>
        <w:t>8.1 Der Beschwerdeführer ersucht um unentgeltliche Rechtpflege (Prozessfüh- rung und Rechtsverbeiständung) im Beschwerdeverfahren (RP.2025.22, act. 1).</w:t>
      </w:r>
    </w:p>
    <w:p>
      <w:r>
        <w:t>8.2 Die Beschwerdekammer befreit eine Partei, die nicht über die erforderlichen Mittel verfügt, auf Antrag von der Bezahlung der Verfahrenskosten, sofern ihr Begehren nicht aussichtslos erscheint (Art. 65 Abs. 1 VwVG) und bestellt ihr einen Anwalt, wenn es zur Wahrung ihrer Rechte notwendig erscheint (Art. 65 Abs. 2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 gefähr die Waage halten oder jene nur wenig geringer sind als diese. Mass- gebend ist, ob eine Partei, die über die nötigen finanziellen Mittel verfügt, sich bei vernünftiger Überlegung zu einem Prozess entschliessen würde. Ob im Einzelfall genügende Erfolgsaussichten bestehen, beurteilt sich nach den Verhältnissen zur Zeit, zu der das Gesuch um unentgeltliche Rechtspflege gestellt wird (BGE 142 III 138 E. 5.1; 140 V 521 E. 9.1).</w:t>
      </w:r>
    </w:p>
    <w:p>
      <w:r>
        <w:t>8.3 Die im vorliegenden Beschwerdeverfahren vorgebrachten Rügen des Be- schwerdeführers, die er schon im Verfahren vor dem Beschwerdegegner vorgebracht hatte (vgl. act. 5.16) und von diesem unter Hinweis auf die ein- schlägige Praxis verworfen wurden (act. 1.2), erwiesen sich als offensichtlich unbegründet. Die Beschwerde muss als aussichtslos betrachtet werden. Entsprechend ist das Gesuch des Beschwerdeführers um unentgeltliche Rechtspflege aufgrund der Aussichtslosigkeit der Beschwerde abzuweisen.</w:t>
      </w:r>
    </w:p>
    <w:p>
      <w:r>
        <w:rPr>
          <w:b/>
        </w:rPr>
        <w:t>E. 9</w:t>
      </w:r>
    </w:p>
    <w:p>
      <w:r>
        <w:t>Bei diesem Ausgang des Verfahrens sind die Gerichtskosten dem Be- schwerdeführer aufzuerlegen (vgl. Art. 63 Abs. 1 VwVG). Die Gerichtsgebühr ist auf Fr. 3'000.– festzusetzen (vgl. Art. 63 Abs. 5 VwVG i.V.m. Art. 73 StBOG sowie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