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RR.2025.51 vom 29. April 2025</w:t>
      </w:r>
    </w:p>
    <w:p>
      <w:r>
        <w:t>Bundesstrafgericht, 2025-04-29, IT</w:t>
      </w:r>
    </w:p>
    <w:p>
      <w:r>
        <w:rPr>
          <w:b/>
        </w:rPr>
        <w:t xml:space="preserve">Quelle: </w:t>
      </w:r>
      <w:r>
        <w:t>https://mcp.opencaselaw.ch/entscheid/bstger_RR.2025.51</w:t>
      </w:r>
    </w:p>
    <w:p>
      <w:r>
        <w:t>FR: TPF RR.2025.51 du 29 avril 2025</w:t>
      </w:r>
    </w:p>
    <w:p>
      <w:r>
        <w:t>IT: TPF RR.2025.51 del 29 aprile 2025</w:t>
      </w:r>
    </w:p>
    <w:p>
      <w:pPr>
        <w:pStyle w:val="Heading2"/>
      </w:pPr>
      <w:r>
        <w:t>Regeste</w:t>
      </w:r>
    </w:p>
    <w:p>
      <w:r>
        <w:t>Assistenza giuridica internazionale in materia penale alla Croazia Decisione di estradizione (art. 55 AIMP) Assistenza giudiziaria gratuita (art. 65 PA)</w:t>
      </w:r>
    </w:p>
    <w:p>
      <w:pPr>
        <w:pStyle w:val="Heading2"/>
      </w:pPr>
      <w:r>
        <w:t>Erwägungen</w:t>
      </w:r>
    </w:p>
    <w:p>
      <w:r>
        <w:rPr>
          <w:b/>
        </w:rPr>
        <w:t>E. 1.1</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1.2</w:t>
      </w:r>
    </w:p>
    <w:p>
      <w:r>
        <w:t>L'estradizione fra la Repubblica di Croazia e la Confederazione Svizzera è an- zitutto retta dalla Convenzione europea d'estradizione del 13 dicembre 1957 (CEEstr; RS 0.353.1), entrata in vigore il 25 aprile 1995 per la Croazia ed il 20 marzo 1967 per il nostro Paese. Applicabili sono altresì il relativo Protocollo addizionale del 15 ottobre 1975 nonché il Secondo Protocollo addizionale del 17 marzo 1978, entrambi entrati in vigore il 25 aprile 1995 per la Croazia ed il 9 giugno 1985 per la Svizzera (RS 0.353.11 e 0.353.12). Di rilievo sono inoltre gli art. 59 e segg. della Convenzione di applicazione del 19 giugno 1990 dell’Ac- cordo di Schengen del 14 giugno 1985 (CAS; Gazzetta ufficiale dell’Unione eu- ropea n. L 239 del 22 settembre 2000, pag. 19-62) in relazione alla Decisione 2007/533/GAI del Consiglio del 12 giugno 2007 sull’istituzione, l’esercizio e l’uso del sistema d’informazione Schengen di seconda generazione (SIS II), capo V, art. 26-31 (Gazzetta ufficiale dell’Unione europea n. L 205/63 del 7 ago- sto 2007, pag. 63).</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w:t>
      </w:r>
    </w:p>
    <w:p>
      <w:r>
        <w:t>- 4 -</w:t>
      </w:r>
    </w:p>
    <w:p>
      <w:r>
        <w:t>(OAIMP;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w:t>
      </w:r>
    </w:p>
    <w:p>
      <w:r>
        <w:t>Il ricorrente contesta la sua estradizione, nella misura in cui la pena inflitta me- diante sentenza del Tribunale municipale di Zagabria del 13 febbraio 2020, mo- dificata dalla sentenza del Tribunale di contea di Zagabria del 9 novembre 2020 sarebbe prescritta. A suo dire, “la crescita in giudicato della pena comminata (…) è da ricondurre all’emissione della decisione del 13 febbraio 2020 e non alla successiva sentenza d’appello del Tribunale di contea di Zagabria del 9 novembre 2020” (act. 1, pag. 8). A sostegno della sua tesi, egli afferma che “si è infatti nel caso di specie di fronte ad un’impugnazione parziale, da parte del procuratore pubblico croato, della decisione di prime cure, appello infatti limitato stante le decisioni estere prodotte alla sola concessione o meno della sospen- sione condizionale della pena. L’appello incoato dall’accusa croata non concer- neva infatti la pena in quanto tale (un anno di reclusione) che non è stata ap- pellata né contestata in alcun modo per sussistenza e quantificazione dal mini- stero pubblico croato” (ibidem).</w:t>
      </w:r>
    </w:p>
    <w:p>
      <w:r>
        <w:rPr>
          <w:b/>
        </w:rPr>
        <w:t>E. 2.1</w:t>
      </w:r>
    </w:p>
    <w:p>
      <w:r>
        <w:t>L'art. 10 CEEstr prevede che l'estradizione non sarà consentita se la prescri- zione dell'azione penale o della pena è acquisita secondo la legislazione della Parte richiedente o della Parte richiesta. Giusta l’art. 5 cpv. 1 lett. c AIMP, la domanda è irricevibile se la sua attuazione implica misure coercitive e, secondo il diritto svizzero, l’azione penale o l’esecuzione sarebbe esclusa a causa della prescrizione assoluta. In Svizzera, giusta l'art. 99 cpv. 1 lett. e CP, la pena si prescrive in cinque anni, se si tratta di una pena detentiva fino a un anno. L’art. 100 CP prevede inoltre che la prescrizione decorre dal giorno in cui la sentenza acquista forza di cosa giudicata. In caso di sospensione condizionale della pena o di previa esecuzione di una misura, decorre dal giorno in cui è ordinata l’ese- cuzione della pena (v. a questo proposito ZURBRÜGG, Commentario basilese, 4a ediz. 2019, n. 2 e seg. ad art. 100 CP; DUPUIS/MOREILLON/ PIGUET/BERGER/MAZOU/RODIGARI, Code pénal, Petit commentaire, 2a ediz. 2017, n. 4 ad art. 100 CP).</w:t>
      </w:r>
    </w:p>
    <w:p>
      <w:r>
        <w:rPr>
          <w:b/>
        </w:rPr>
        <w:t>E. 2.2</w:t>
      </w:r>
    </w:p>
    <w:p>
      <w:r>
        <w:t>In concreto, la sentenza di condanna dell'estradando a una pena detentiva di un anno è diventata definitiva il 9 novembre 2020, momento in cui il tribunale di seconda istanza croato ha confermato la pena detentiva di un anno e ordinato l’esecuzione della stessa, modificando quindi la decisione di prima istanza (v. sentenza del Tribunale di contea di Zagabria del 9 novembre 2020, pag. 1, in act. 4.1). In Svizzera la pena inflitta al ricorrente si prescrive dunque il 9</w:t>
      </w:r>
    </w:p>
    <w:p>
      <w:r>
        <w:t>- 5 -</w:t>
      </w:r>
    </w:p>
    <w:p>
      <w:r>
        <w:t>novembre 2025. In Croazia, in applicazione degli art. 83 e 84 CP/HR, la pena in questione si prescriverà il 9 novembre 2026. Di conseguenza, contrariamente a quanto sostenuto dal ricorrente, in nessuno dei due Paesi la pena è prescritta, visto che le normative applicabili fanno esclusivo riferimento alla data della sen- tenza definitiva, senza margini per le differenziazioni ipotizzate nel gravame.</w:t>
      </w:r>
    </w:p>
    <w:p>
      <w:r>
        <w:rPr>
          <w:b/>
        </w:rPr>
        <w:t>E. 3</w:t>
      </w:r>
    </w:p>
    <w:p>
      <w:r>
        <w:t>In definitiva, il gravame deve essere respinto. La decisione di estradizione del 24 febbraio 2025 va confermata e l’estradizione del ricorrente concessa “per l’esecuzione della pena pronunciata dal tribunale di Zagabria il 13 febbraio 2020, divenuta definitiva il 9 novembre 2020, per l’esecuzione di una pena pri- vativa di libertà di 1 anno” (act. 1.1, pag. 6).</w:t>
      </w:r>
    </w:p>
    <w:p>
      <w:r>
        <w:rPr>
          <w:b/>
        </w:rPr>
        <w:t>E. 4</w:t>
      </w:r>
    </w:p>
    <w:p>
      <w:r>
        <w:t>Il reclamante sollecita la concessione del beneficio dell'assistenza giudiziaria e del gratuito patrocinio nella persona dell’avv. Matteo Genovini (v. RP.2025.15, act. 1).</w:t>
      </w:r>
    </w:p>
    <w:p>
      <w:r>
        <w:rPr>
          <w:b/>
        </w:rPr>
        <w:t>E. 4.1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(DTF 124 I 1 consid. 2a). Una parte è da considerarsi quindi indigente allorquando, per pagare le spese processuali e le ripetibili, è costretta ad intaccare i mezzi necessari per coprire i bisogni fonda- mentali personali e della propria famiglia (DTF 125 IV 161 consid. 4a; 124 I 1 consid. 2a; cfr. ugualmente DTF 128 I 225 consid. 2.5.1; 127 I 202 consid.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(DTF</w:t>
      </w:r>
    </w:p>
    <w:p>
      <w:r>
        <w:t>- 6 -</w:t>
      </w:r>
    </w:p>
    <w:p>
      <w:r>
        <w:t>138 III 217 consid. 2.2.4; 133 III 614 consid. 5; 124 I 304 consid. 2c; sentenze del Tribunale federale 5A_264/2012 del 6 dicembre 2012 consid. 4.1; 5A_711/2011 del 21 dicembre 2011 consid. 3.1).</w:t>
      </w:r>
    </w:p>
    <w:p>
      <w:r>
        <w:t>L’esame della situazione finanziaria del richiedente è riferito al momento in cui l’istanza è presentata (DTF 141 III 369 consid. 4.1; sentenza del Tribunale fe- derale 6B_304/2021 del 12 aprile 2021 consid. 3). La parte che richiede l'assi- stenza giudiziaria ha il dovere di fornire ragguagli completi e, per quanto possi- bile, comprovati, sul proprio reddito, patrimonio e sull'insieme dei propri oneri finanziari. Essa è obbligata a cooperare: l’autorità confrontata con la domanda non è obbligata a chiarire da sola i fatti ivi contenuti né a verificare d’ufficio le allegazioni dell’istante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(DTF 135 I 221 consid. 5.1). In caso contrario l'istanza deve essere respinta, non essendo sufficientemente sostanziato o di- mostrato lo stato di indigenza (DTF 125 IV 161 consid. 4a; sentenze 5B_578/2020 consid. 3.3; 2C_367/2020 consid. 3.3; sentenze del Tribunale pe- nale federale RP.2014.62 del 26 agosto 2014 consid. 2.1; BH.2006.6 del 18 aprile 2006 consid. 6.1).</w:t>
      </w:r>
    </w:p>
    <w:p>
      <w:r>
        <w:rPr>
          <w:b/>
        </w:rPr>
        <w:t>E. 4.2</w:t>
      </w:r>
    </w:p>
    <w:p>
      <w:r>
        <w:t>Nella fattispecie il ricorrente ha inoltrato a questa autorità l'apposito formulario, limitandosi tuttavia ad indicare la sua professione di economista, nonché i nomi della moglie e dei figli omettendo qualsiasi altra informazione che permetta di esaminare la sua situazione finanziaria (v. RP.2025.15, act. 3.1). Nello scritto accompagnatorio, il suo legale ha affermato che “non è stato possibile reperire le informazioni relative allo stato patrimoniale del mio assistito, ritenuto che que- sti si trova in carcerazione preventiva nel Cantone Ticino ormai da mesi. La situazione economica di questi non gli permette in ogni caso di provvedere al pagamento di un legale, precisato che questi non ha alcun reddito” (act. 3). Tale motivazione non regge. Con l’aiuto del suo legale e della moglie, il ricorrente avrebbe senz’altro potuto produrre un minimo di documentazione a sostegno della propria domanda di assistenza giudiziaria gratuita, la quale va quindi re- spinta già solo per questo motivo. Essa sarebbe del resto da respingere anche a causa dell'assenza di probabilità di successo. In effetti, la censura sollevata dal ricorrente concernente la prescrizione della pena, alla luce di quanto consi- derato sopra (v. consid. 2), era manifestamente infondata.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w:t>
      </w:r>
    </w:p>
    <w:p>
      <w:r>
        <w:t>- 7 -</w:t>
      </w:r>
    </w:p>
    <w:p>
      <w:r>
        <w:t>indennità della procedura penale federale (RSPPF; RS 173.713.162) ed è fis- sata nella fattispecie a fr. 3’000.–.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