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RR.2025.49 vom 3. April 2025</w:t>
      </w:r>
    </w:p>
    <w:p>
      <w:r>
        <w:t>Bundesstrafgericht, 2025-04-03, DE</w:t>
      </w:r>
    </w:p>
    <w:p>
      <w:r>
        <w:rPr>
          <w:b/>
        </w:rPr>
        <w:t xml:space="preserve">Quelle: </w:t>
      </w:r>
      <w:r>
        <w:t>https://mcp.opencaselaw.ch/entscheid/bstger_RR.2025.49</w:t>
      </w:r>
    </w:p>
    <w:p>
      <w:r>
        <w:t>FR: TPF RR.2025.49 du 3 avril 2025</w:t>
      </w:r>
    </w:p>
    <w:p>
      <w:r>
        <w:t>IT: TPF RR.2025.49 del 3 aprile 2025</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in erster Linie das EAUe,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massgebend (für die vollständige Übersicht der anwendbaren Bestimmungen im Auslieferungsverkehr mit Deutschland siehe zuletzt den Entscheid des Bundesstrafgerichts RR.2025.10 vom 10. März 2025 E. 1.1).</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25. Februar 2025 ist dem Vertreter des Beschwerdeführers am 26. Februar 2025 zugestellt worden (vgl. act. 4.16), womit die Beschwerde am 18. März 2025 fristgerecht erhoben worden ist. Der Beschwerdeführer ist als Adressat des Auslieferungsentscheids ohne</w:t>
      </w:r>
    </w:p>
    <w:p>
      <w:r>
        <w:t>- 5 -</w:t>
      </w:r>
    </w:p>
    <w:p>
      <w:r>
        <w:t>Weiteres zu dessen Anfechtung legitimiert. Auf die Beschwerde ist einzutre- 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w:t>
      </w:r>
    </w:p>
    <w:p>
      <w:r>
        <w:t>Der Beschwerdeführer bringt vorab vor, dem Auslieferungsersuchen fehlten darin ausdrücklich erwähnte Beilagen. So habe er die als «Anlage 1» er- wähnte Auslieferungsbewilligung vom 14. September 2021 trotz gestelltem Akteneinsichtsgesuch bis heute nie gesehen/erhalten. Entweder sei also das Ersuchen unvollständig oder der Beschwerdegegner habe ihm nicht alle Akten eröffnet, womit sein Anspruch auf rechtliches Gehör verletzt worden wäre (act. 1, Rz. 8.1).</w:t>
      </w:r>
    </w:p>
    <w:p>
      <w:r>
        <w:t>Das entsprechende Schriftstück ist Teil der vorliegenden, vom Beschwerde- gegner eingereichten Akten (act. 4.2.A/Anlage 1) und wurde von der ersu- chenden Behörde mitsamt deren Nachtragsersuchen vom 18. April 2024 übermittelt. Die entsprechende Rüge des Beschwerdeführers ist damit un- begründet. Dieses Nachtragsersuchen wurde dem Vertreter des Beschwer- deführers – nebst anderen Unterlagen – am 10. Dezember 2024 übermittelt (vgl. act. 4.11). Der im Rahmen des erstinstanzlichen Verfahrens ergange- nen Stellungnahme des Beschwerdeführers vom 22. Januar 2025 ist ledig- lich als Klammerbemerkung zu entnehmen, die entsprechende Beilage [Aus- lieferungsbewilligung vom 14. September 2021] liege entgegen dem Auslie- ferungsersuchen nicht bei den Akten (act. 4.14, Rz. 3). Demgegenüber nahm er ausdrücklich Bezug auf andere Beilagen zum Nachtragsersuchen, na- mentlich auf die Anklageschrift der Staatsanwaltschaft Osnabrück vom 21. März 2023 (act. 4.2.A/Anlage 2). Sollte dem Beschwerdeführer die Aus- lieferungsbewilligung vom 14. September 2021 tatsächlich (allenfalls aus Versehen) nicht übermittelt worden sein, so hätte er diesbezüglich beim Be- schwerdegegner bereits im Rahmen des erstinstanzlichen Verfahrens inter- venieren und deren (nachträgliche) Übermittlung reklamieren sollen. Nach- dem er dies offensichtlich unterlassen hat, kann die von ihm gerügte Verlet- zung seines Anspruchs auf rechtliches Gehör nicht festgestellt werden. Le- diglich am Rande erwähnt sei, dass das betreffende Schriftstück ohnehin nicht Teil der von Art. 12 Abs. 2 und Art. 14 Abs. 1 lit. a EAUe geforderten</w:t>
      </w:r>
    </w:p>
    <w:p>
      <w:r>
        <w:t>- 6 -</w:t>
      </w:r>
    </w:p>
    <w:p>
      <w:r>
        <w:t>Beilagen für ein Nachtragsersuchen bildet und sein wesentlicher Inhalt dem Vertreter des Beschwerdeführers auch so schon bekannt zu sein scheint (vgl. act. 4.5, zweiter Abschnitt).</w:t>
      </w:r>
    </w:p>
    <w:p>
      <w:r>
        <w:rPr>
          <w:b/>
        </w:rPr>
        <w:t>E. 5.1</w:t>
      </w:r>
    </w:p>
    <w:p>
      <w:r>
        <w:t>In formeller Hinsicht rügt der Beschwerdeführer, die Subsumtion im Nach- tragsersuchen sei viel zu unbestimmt, was sowohl die Straftatbestände als auch die Verjährung anbelangt. Insbesondere die Ausführungen zur Verjäh- rung könnten – auch nur summarisch – nicht geprüft werden (act. 1, Rz. 8.2). Zudem verweise das Nachtragsersuchen praktisch vollständig auf die Ankla- geschrift vom 21. März 2023, ohne selbst die formellen und materiellen Aus- lieferungsvoraussetzungen aufzuzeigen (act. 1, Rz. 8.3).</w:t>
      </w:r>
    </w:p>
    <w:p>
      <w:r>
        <w:rPr>
          <w:b/>
        </w:rPr>
        <w:t>E. 5.2</w:t>
      </w:r>
    </w:p>
    <w:p>
      <w:r>
        <w:t>In eingangs erwähnter Anklageschrift werden dem Beschwerdeführer insge- samt sieben zwischen dem 30. November 2020 und dem 1. Dezember 2020 in Z. verübte Diebstahlsdelikte vorgeworfen. In fünf dieser Fälle sei er zur Ausführung der Tat in eine fremde Wohnung eingebrochen, wobei es in ei- nem dieser Fälle bei einem versuchten Diebstahl geblieben sei. Zu jedem Anklagepunkt findet sich eine kurze Sachverhaltsschilderung, welche den Tatzeitpunkt, den Tatort, die mutmassliche Vorgehensweise des Beschwer- deführers und das dabei erbeutete Deliktsgut beinhalten. Für weitergehende Details kann an dieser Stelle auf die entsprechende Akte verwiesen werden (siehe act. 4.2.A/Anlage 2, S. 2 f.).</w:t>
      </w:r>
    </w:p>
    <w:p>
      <w:r>
        <w:rPr>
          <w:b/>
        </w:rPr>
        <w:t>E. 5.3</w:t>
      </w:r>
    </w:p>
    <w:p>
      <w:r>
        <w:t>Diese Schilderung des Sachverhalts ermöglicht dem Rechtshilfegericht ohne Weiteres die ihm obliegende Prüfung, ob ausreichende Anhaltspunkte für eine auslieferungsfähige Straftat vorliegen. Es sind keine offensichtlichen Fehler, Lücken oder Widersprüche erkennbar, welche die Sachverhaltsdar- stellung im Auslieferungsersuchen zu entkräften vermögen. Der dargelegte Sachverhalt lässt sich nach schweizerischem Recht prima facie unter die Tatbestände des (versuchten) Diebstahls nach Art. 139 (i.V.m. Art. 22) StGB, des Hausfriedensbruchs nach Art. 186 StGB sowie der Sachbeschädigung nach Art. 144 StGB subsumieren. Bei diesen handelt es sich zweifelsfrei um auslieferungsfähige Straftaten. Es ist die Aufgabe des ausländischen Sach- gerichts, sich über das Bestehen dieser Tatsachen und über die Schuld des Verfolgten auszusprechen (BGE 112 Ib 215 E. 5b). Schliesslich war die er- suchende Behörde auch nicht verpflichtet, den dargelegten Tatverdacht mit Beweisen zu untermauern (vgl. BGE 133 IV 76 E. 2.2 m.w.H.; TPF 2012 114 E. 7.2 und 7.3 m.w.H.). Die Beschwerde erweist sich in diesem Punkt als unbegründet.</w:t>
      </w:r>
    </w:p>
    <w:p>
      <w:r>
        <w:t>- 7 -</w:t>
      </w:r>
    </w:p>
    <w:p>
      <w:r>
        <w:rPr>
          <w:b/>
        </w:rPr>
        <w:t>E. 5.4</w:t>
      </w:r>
    </w:p>
    <w:p>
      <w:r>
        <w:t>Soweit im EAUe nichts anderes bestimmt ist, findet auf das Verfahren der Auslieferung ausschliesslich das Recht des ersuchten Staates Anwendung (Art. 22 EAUe), mithin auch Art. 10 Abs. 1 IRSV, gemäss welchem die Sach- verhaltsdarstellung im Ersuchen oder in dessen Beilagen enthalten sein kann. Somit schadet es auch nicht, wenn sich die von Art. 12 Abs. 2 lit. b EAUe geforderte Darstellung der dem Verfolgten zur Last gelegten Handlun- gen nicht aus dem Nachtragsersuchen selbst, sondern aus der diesem bei- liegenden Anklageschrift ergibt.</w:t>
      </w:r>
    </w:p>
    <w:p>
      <w:r>
        <w:rPr>
          <w:b/>
        </w:rPr>
        <w:t>E. 5.5</w:t>
      </w:r>
    </w:p>
    <w:p>
      <w:r>
        <w:t>Schliesslich sind die Vorbringen des Beschwerdeführers betreffend unzu- reichende Ausführungen zur Verjährung im Auslieferungsverkehr mit Deutschland von Beginn weg nicht von Relevanz. Einerseits darf die Auslie- ferung laut Art. IV Abs. 1 ZV EAUe nicht mit der Begründung abgelehnt wer- den, die Strafverfolgung oder die Strafvollstreckung sei nach den Rechtsvor- schriften des ersuchten Staates verjährt. Andererseits ist die Verjährung nach dem Recht des ersuchenden Staates im Anwendungsbereich des hier gestützt auf das Günstigkeitsprinzip zur Anwendung gelangenden Art. 5 Abs. 1 lit. c IRSG grundsätzlich nicht zu prüfen (vgl. zum Ganzen den Ent- scheid des Bundesstrafgerichts RR.2015.225 vom 10. Dezember 2015 E. 4.2 m.w.H.). Eine ausser Zweifel stehende Vollstreckungsverjährung nach deutschem Recht, welche das Ersuchen als missbräuchlich erscheinen liesse, ist vorliegend weder ersichtlich noch wird sie vom Beschwerdeführer dargetan.</w:t>
      </w:r>
    </w:p>
    <w:p>
      <w:r>
        <w:rPr>
          <w:b/>
        </w:rPr>
        <w:t>E. 6.1</w:t>
      </w:r>
    </w:p>
    <w:p>
      <w:r>
        <w:t>Schliesslich wirft der Beschwerdeführer den deutschen Behörden vor, mehr- fach gegen den Spezialitätsgrundsatz verstossen zu haben. Er habe anläss- lich seiner Auslieferung nicht auf dessen Anwendung verzichtet, weshalb die Anklageschrift der Staatsanwaltschaft Osnabrück mit anderweitigen Vorwür- fen sowie der diesbezügliche Haftbefehl des Amtsgerichts Osnabrück unzu- lässig seien (act. 1, Rz. 9 ff.).</w:t>
      </w:r>
    </w:p>
    <w:p>
      <w:r>
        <w:rPr>
          <w:b/>
        </w:rPr>
        <w:t>E. 6.2</w:t>
      </w:r>
    </w:p>
    <w:p>
      <w:r>
        <w:t>Der Grundsatz der Spezialität besagt, dass der ehemals ersuchende Staat den Ausgelieferten lediglich für diejenigen – vor der Übergabe begangenen Handlungen – verfolgen, verurteilen bzw. freiheitsbeschränkenden Sanktio- nen unterziehen darf, für welche die Auslieferung bewilligt wurde (vgl. HEIM- GARTNER, Auslieferungsrecht, 2002, S. 164). Dieses Prinzip beansprucht keine absolute Geltung. Eine Verfolgung bzw. Bestrafung für andere als dem Auslieferungsersuchen zu Grunde liegende Handlungen ist dennoch mög- lich, wenn der ersuchte Staat zustimmt. Hierzu hat der ersuchende Staat</w:t>
      </w:r>
    </w:p>
    <w:p>
      <w:r>
        <w:t>- 8 -</w:t>
      </w:r>
    </w:p>
    <w:p>
      <w:r>
        <w:t>diesem ein sog. Nachtragsauslieferungsbegehren unter Beifügung der übli- chen Unterlagen zu stellen (vgl. HEIMGARTNER, a.a.O., S. 165).</w:t>
      </w:r>
    </w:p>
    <w:p>
      <w:r>
        <w:rPr>
          <w:b/>
        </w:rPr>
        <w:t>E. 6.3.1</w:t>
      </w:r>
    </w:p>
    <w:p>
      <w:r>
        <w:t>Gemäss Art. 14 Abs. 1 lit. a Satz 1 EAUe darf der Ausgelieferte wegen einer anderen, vor der Übergabe begangenen Handlung als derjenigen, die der Auslieferung zugrunde liegt, nur verfolgt, abgeurteilt, zur Vollstreckung einer Strafe oder sichernden Massnahme in Haft gehalten oder einer sonstigen Beschränkung seiner persönlichen Freiheit unterworfen werden, wenn der Staat, der ihn ausgeliefert hat, zustimmt. Die Umschreibung des Spezialitäts- grundsatzes in Art. 14 Abs. 1 EAUe ist inhaltlich deckungsgleich mit Art. 38 Abs. 1 lit. a IRSG (BGE 135 IV 212 E. 2.1 S. 215; siehe auch die Botschaft vom 20. Mai 2015 zur Genehmigung des Dritten und des Vierten Zusatzpro- tokolls zum Europäischen Auslieferungsübereinkommen, BBl 2015 3963, 3971 Fn 21). Zu diesem Zweck ist ein Ersuchen unter Beifügung der in Art. 12 EAUe erwähnten Unterlagen und eines gerichtlichen Protokolls über die Erklärungen des Ausgelieferten zu stellen (Art. 14 Abs. 1 lit. a Satz 2 EAUe). In Fällen, in denen der Verfolgte bereits ausgeliefert worden ist und der Staat, der ihn ausgeliefert hat, um die Zustimmung zur weiteren Strafver- folgung ersucht wird, kann dem Ersuchen an Stelle eines Haftbefehls oder einer gleichwertigen Urkunde im Sinne des Art. 12 Abs. 2 lit. a EAUe die Urschrift oder eine beglaubigte Abschrift einer richterlichen Urkunde beige- fügt werden, aus der sich der dringende Tatverdacht ergibt (Art. V Abs. 2 ZV EAUe). Diese Bestimmung sieht vereinfachte Unterlagen vor für Ersuchen um Ausdehnung der Auslieferung. Da sich der Verfolgte im Zeitpunkt der Stellung eines solchen Nachtragsersuchens meistens bereits in Haft befin- det, bedarf es keines weiteren Haftbefehls (Botschaft vom 15. Juli 1970 be- treffend die Genehmigung der Verträge mit der Bundesrepublik Deutschland über die Ergänzung des Europäischen Auslieferungsübereinkommens und des Europäischen Rechtshilfeübereinkommens, BBl 1970 II 241, 246). Die Zustimmung wird erteilt, wenn die strafbare Handlung, derentwegen um Zu- stimmung ersucht wird, an sich nach dem EAUe der Verpflichtung zur Aus- lieferung unterliegt (Art. 14 Abs. 1 lit. a Satz 3 EAUe).</w:t>
      </w:r>
    </w:p>
    <w:p>
      <w:r>
        <w:rPr>
          <w:b/>
        </w:rPr>
        <w:t>E. 6.3.2</w:t>
      </w:r>
    </w:p>
    <w:p>
      <w:r>
        <w:t>Der ersuchende Staat kann jedoch die erforderlichen Massnahmen treffen, um einen Ausgelieferten ausser Landes zu schaffen oder nach seinen Rechtsvorschriften die Verjährung zu unterbrechen sowie ein Abwesenheits- verfahren durchführen (Art. 14 Abs. 2 EAUe). Diese Bestimmung erlaubt es den Vertragsstaaten, die zur Unterbrechung der Verjährung notwendigen Massnahmen zu treffen. Die (mit der Erarbeitung eines Entwurfs für ein Eu- ropäisches Auslieferungsübereinkommen betrauten) Experten erkannten die Notwendigkeit einer solchen Befugnis, da ein Vertragsstaat solche</w:t>
      </w:r>
    </w:p>
    <w:p>
      <w:r>
        <w:t>- 9 -</w:t>
      </w:r>
    </w:p>
    <w:p>
      <w:r>
        <w:t>Massnahmen auch ergreifen kann, selbst wenn die verfolgte Person nicht ausgeliefert worden ist. Gestützt auf Art. 14 Abs. 2 EAUe können die Behör- den des ersuchenden Staates eine ausgelieferte Person beispielsweise für Straftaten, für welche die Auslieferung (noch) nicht bewilligt worden ist, im Abwesenheitsverfahren verurteilen. In diesem Fall darf die ausgelieferte Per- son für diese Straftaten jedoch nicht ohne die Zustimmung des ersuchten Staates inhaftiert werden (vgl. hierzu den Explanatory Report zum EAUe, S. 10). Für die Unterbrechung der Verjährung sind allein die Vorschriften der ersuchenden Vertragspartei massgebend (Art. 62 Abs. 1 des Übereinkom- 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 min.ch/opc/de/european-union/international-agreements/008.html]).</w:t>
      </w:r>
    </w:p>
    <w:p>
      <w:r>
        <w:rPr>
          <w:b/>
        </w:rPr>
        <w:t>E. 6.3.3</w:t>
      </w:r>
    </w:p>
    <w:p>
      <w:r>
        <w:t>Der in Art. 14 EAUe vorgesehene Grundsatz der Spezialität kommt nicht zur Anwendung, wenn die strafrechtlich verfolgte Person ausdrücklich darauf verzichtet (Art. 2 Abs. 1 lit. b des Bundesbeschlusses vom 18. März 2016 über die Genehmigung des Dritten und des Vierten Zusatzprotokolls zum Europäischen Auslieferungsübereinkommen [AS 2016 3581 f.] i.V.m. Art. 5 lit. b und Art. 17 Abs. 3 ZPIII EAUe). Der ersuchte Staat verzichtet auf die Einhaltung der in Art. 14 EAUe festgelegten Beschränkungen, wenn sich der Verfolgte zu Protokoll einer Justizbehörde durch eine unwiderrufliche Erklä- rung nach Belehrung über deren Rechtswirkungen mit der uneingeschränk- ten Strafverfolgung oder Strafvollstreckung einverstanden erklärt (Art. VI Abs. 2 ZV EAUe). Nach der Auslieferung kann diese Erklärung nur zu Pro- tokoll eines Richters abgegeben werden. Eine als richtig bescheinigte Ab- schrift oder Kopie der Erklärung ist dem ersuchten Staat zu übermitteln (Art. VI Abs. 3 ZV EAUe).</w:t>
      </w:r>
    </w:p>
    <w:p>
      <w:r>
        <w:rPr>
          <w:b/>
        </w:rPr>
        <w:t>E. 6.4</w:t>
      </w:r>
    </w:p>
    <w:p>
      <w:r>
        <w:t>Soweit ersichtlich stützt sich der Beschwerdegegner im angefochtenen Ent- scheid auf Art. 14 EAUe in der (neuen) Version gemäss Art. 3 des Vierten Zusatzprotokolls vom 20. September 2012 zum EAUe (ZPIV EAUe; SR 0.353.14), wobei Letzteres im Verhältnis zu Deutschland gerade noch nicht in Kraft getreten ist (siehe oben E. 1.1). Das ändert angesichts der nachfolgenden Ausführungen jedoch nichts am Ausgang des vorliegenden Verfahrens. Die vom Beschwerdeführer kritisierte Anklageschrift hat auf- grund der Ausführungen im Nachtragsersuchen vom 18. April 2024 verjäh- rungsunterbrechende Wirkung (siehe act. 4.2, S. 2 f.) und stellt damit schon gestützt auf Art. 14 Abs. 2 EAUe keine Verletzung des Spezialitätsprinzips</w:t>
      </w:r>
    </w:p>
    <w:p>
      <w:r>
        <w:t>- 10 -</w:t>
      </w:r>
    </w:p>
    <w:p>
      <w:r>
        <w:t>dar. Darüber hinaus vermag der Beschwerdeführer auch nicht darzutun, in- wiefern mit Einreichung der Anklageschrift vor dem zuständigen Gericht ir- gendeine freiheitsbeschränkende Wirkung einhergehen sollte. Der ebenfalls kritisierte Haftbefehl stützt sich auf Art. 14 Abs. 1 lit. a Satz 2 i.V.m. Art. 12 Abs. 2 lit. a EAUe und wurde von den ersuchenden Behörden offensichtlich zur Unterstützung des Nachtragsuntersuchens erwirkt (vgl. act. 4.4, S. 2). Die Formulierung von Art. V Abs. 2 ZV EAUe lässt zudem erkennen, dass für Nachtragsersuchen im Vergleich zum Haftbefehl auch vereinfachte Un- terlagen eingereicht werden können, aber nicht müssen. Im Übrigen soll auch die revidierte Formulierung von Art. 14 EAUe i.V.m. (dem vorliegend nicht anwendbaren) Art. 3 ZPIV EAUe nur klarstellen, dass der Spezialitäts- grundsatz die ersuchenden Behörden nicht daran hindert, die in Art. 14 Abs. 1 EAUe genannten Unterlagen beizubringen (vgl. hierzu den Explana- tory Report zum ZPIV EAUe, Rz. 31). Entscheidend in dieser Konstellation ist, dass dieser Haftbefehl für den verfolgten Beschwerdeführer keine frei- heitsbeschränkenden Folgen hat, bevor die Schweiz dem vorliegenden Nachtragsersuchen nicht zugestimmt hat. Im Haftbefehl selbst wird ausge- führt, der Beschwerdeführer befinde sich derzeit in Strafhaft in der Justizvoll- zugsanstalt Hagen. Das diesbezügliche Strafende sei auf den 15. April 2025 notiert (act. 4.10.A, S. 5). Im Nachtragsersuchen vom 18. April 2024 wurde diesbezüglich erwogen, dass der Beschwerdeführer am 4. September 2023 (sic!) zwei Drittel «aller derzeit vollstreckbaren» Strafen verbüsst haben werde und dann eine allfällige Entlassung auf Bewährung in Betracht käme (act. 4.2, S. 3). Eine Verletzung des Spezialitätsprinzips ist bei dieser Akten- lage nicht zu erkennen und wird vom Beschwerdeführer lediglich behauptet, aber weder hinreichend dargetan noch mit konkreten Angaben untermauert. Die Beschwerde erweist sich auch in diesem Punkt als unbegründet. Im Üb- rigen ergibt sich auch aus dem Nachtragsersuchen selbst, dass den ersu- chenden Behörden der Spezialitätsgrundsatz und dessen Wirkung durchaus bekannt sind, haben sie doch gerade deswegen überhaupt ein Ersuchen um nachträgliche Bewilligung der Auslieferung für weitere Straftaten gestellt.</w:t>
      </w:r>
    </w:p>
    <w:p>
      <w:r>
        <w:rPr>
          <w:b/>
        </w:rPr>
        <w:t>E. 7</w:t>
      </w:r>
    </w:p>
    <w:p>
      <w:r>
        <w:t>Andere Auslieferungshindernisse wurden weder geltend gemacht noch sind solche ersichtlich. Die Auslieferung des Beschwerdeführers an Deutschland ist daher zulässig und die Beschwerde erweist sich als offensichtlich unbe- gründet, weshalb sie ohne Durchführung eines Schriftenwechsels abzuwei- sen ist (Art. 57 Abs. 1 VwVG e contrario).</w:t>
      </w:r>
    </w:p>
    <w:p>
      <w:r>
        <w:rPr>
          <w:b/>
        </w:rPr>
        <w:t>E. 8.1</w:t>
      </w:r>
    </w:p>
    <w:p>
      <w:r>
        <w:t>Der Beschwerdeführer stellt ein Gesuch um unentgeltliche Rechtspflege.</w:t>
      </w:r>
    </w:p>
    <w:p>
      <w:r>
        <w:t>- 11 -</w:t>
      </w:r>
    </w:p>
    <w:p>
      <w:r>
        <w:rPr>
          <w:b/>
        </w:rPr>
        <w:t>E. 8.2</w:t>
      </w:r>
    </w:p>
    <w:p>
      <w:r>
        <w:t>Die Beschwerdekammer befreit eine Partei, die nicht über die erforderlichen Mittel verfügt, auf Antrag von der Bezahlung der Verfahrenskosten, sofern ihr Begehren nicht aussichtslos erscheint (Art. 65 Abs. 1 VwVG) und bestellt ihr einen Anwalt, wenn es zur Wahrung ihrer Rechte notwendig erscheint (Art. 65 Abs. 2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Gewinnaussichten und Verlustgefahren un- gefähr die Waage halten oder jene nur wenig geringer sind als diese. Mass- gebend ist, ob eine Partei, die über die nötigen finanziellen Mittel verfügt, sich bei vernünftiger Überlegung zu einem Prozess entschliessen würde. Ob im Einzelfall genügende Erfolgsaussichten bestehen, beurteilt sich nach den Verhältnissen zur Zeit, zu der das Gesuch um unentgeltliche Rechtspflege gestellt wird (BGE 142 III 138 E. 5.1 S. 139 f.; 140 V 521 E. 9.1).</w:t>
      </w:r>
    </w:p>
    <w:p>
      <w:r>
        <w:rPr>
          <w:b/>
        </w:rPr>
        <w:t>E. 8.3</w:t>
      </w:r>
    </w:p>
    <w:p>
      <w:r>
        <w:t>Die im vorliegenden Beschwerdeverfahren vorgebrachten Rügen des Be- schwerdeführers erwiesen sich als offensichtlich unbegründet. Anhand des oben Ausgeführten muss die Beschwerde als aussichtslos im Sinne von Art. 65 Abs. 1 VwVG bezeichnet werden. Demzufolge ist das Gesuch des Beschwerdeführers um unentgeltliche Rechtspflege und Verbeiständung ab- zuweisen. Bei der Festsetzung der Gerichtsgebühr kann gemäss Art. 5 des Reglements des Bundesstrafgerichts vom 31. August 2010 über die Kosten, Gebühren und Entschädigungen in Bundesstrafverfahren (BStKR; SR 173.713.162) der womöglich schwierigen finanziellen Situation des Be- schwerdeführers Rechnung getragen werden.</w:t>
      </w:r>
    </w:p>
    <w:p>
      <w:r>
        <w:rPr>
          <w:b/>
        </w:rPr>
        <w:t>E. 8.4</w:t>
      </w:r>
    </w:p>
    <w:p>
      <w:r>
        <w:t>Bei diesem Ausgang des Verfahrens sind die Gerichtskosten dem Be- schwerdeführer aufzuerlegen (Art. 63 Abs. 1 VwVG). Die Gerichtsgebühr ist auf Fr. 500.– festzusetzen (vgl. Art. 63 Abs. 5 VwVG i.V.m. Art. 73 StBOG sowie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