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RR.2025.30 vom 28. Mai 2025</w:t>
      </w:r>
    </w:p>
    <w:p>
      <w:r>
        <w:t>Bundesstrafgericht, 2025-05-28, FR</w:t>
      </w:r>
    </w:p>
    <w:p>
      <w:r>
        <w:rPr>
          <w:b/>
        </w:rPr>
        <w:t xml:space="preserve">Quelle: </w:t>
      </w:r>
      <w:r>
        <w:t>https://mcp.opencaselaw.ch/entscheid/bstger_RR.2025.30</w:t>
      </w:r>
    </w:p>
    <w:p>
      <w:r>
        <w:t>FR: TPF RR.2025.30 du 28 mai 2025</w:t>
      </w:r>
    </w:p>
    <w:p>
      <w:r>
        <w:t>IT: TPF RR.2025.30 del 28 maggio 2025</w:t>
      </w:r>
    </w:p>
    <w:p>
      <w:pPr>
        <w:pStyle w:val="Heading2"/>
      </w:pPr>
      <w:r>
        <w:t>Regeste</w:t>
      </w:r>
    </w:p>
    <w:p>
      <w:r>
        <w:t>Entraide judiciaire internationale en matière pénale à l'Ukraine; remise de moyens de preuve (art. 74 EIMP)</w:t>
      </w:r>
    </w:p>
    <w:p>
      <w:pPr>
        <w:pStyle w:val="Heading2"/>
      </w:pPr>
      <w:r>
        <w:t>Erwägungen</w:t>
      </w:r>
    </w:p>
    <w:p>
      <w:r>
        <w:rPr>
          <w:b/>
        </w:rPr>
        <w:t>E. 1.1</w:t>
      </w:r>
    </w:p>
    <w:p>
      <w:r>
        <w:t>L’entraide judiciaire entre la Confédération suisse et l’Ukraine est régie, en premier lieu, par la Convention européenne d’entraide judiciaire en matière pénale du 20 avril 1959 (CEEJ; 0.351.1), entrée en vigueur le 20 mars 1967 pour la Suisse et le 9 juin 1998 pour l’Ukraine, ainsi que par le Deuxième Protocole additionnel du 8 novembre 2001 à la CEEJ (ci-après: PA II CEEJ; RS.0351.12), entré en vigueur pour la Suisse le 1er février 2005 et pour l’Etat requérant le 1er janvier 2012.</w:t>
      </w:r>
    </w:p>
    <w:p>
      <w:r>
        <w:rPr>
          <w:b/>
        </w:rPr>
        <w:t>E. 1.2</w:t>
      </w:r>
    </w:p>
    <w:p>
      <w:r>
        <w:t>Les dispositions des actes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les traités et lorsqu’il est plus favorable à l’entraide (ATF 147 II 432 consid. 3; 145 IV 294 consid. 2.1; 142 IV 250 consid. 3; 140 IV 123 consid. 2; 137 IV 33 consid. 2.2.2; 129 II 462 consid. 1.1; 124 II 180 consid. 1.3). L’application de la norme la plus favorable doit avoir lieu dans le respect des droits fondamentaux (ATF 145 IV 294 consid. 2.1; 135 IV 212 consid. 2.3; 123 II 595 consid. 7c).</w:t>
      </w:r>
    </w:p>
    <w:p>
      <w:r>
        <w:t>- 5 -</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art.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 Les dispositions de la loi fédérale sur la procédure administrative du 20 décembre 1968 (PA; RS 172.021) sont, en outre, applicables à la présente procédure de recours (art. 12 al. 1 EIMP, art. 39 al. 2 let. b en lien avec l’art. 37 al. 2 let. a ch. 1 LOAP).</w:t>
      </w:r>
    </w:p>
    <w:p>
      <w:r>
        <w:rPr>
          <w:b/>
        </w:rPr>
        <w:t>E. 1.4</w:t>
      </w:r>
    </w:p>
    <w:p>
      <w:r>
        <w:t>Interjeté le 27 février 2025, contre un prononcé notifié le 28 janvier 2025, le recours a été déposé en temps utile (art. 80k EIMP; art. 20 al. 3 PA), par une personne ayant qualité pour recourir (art. 80h let. b EIMP et 9a let. b OEIMP).</w:t>
      </w:r>
    </w:p>
    <w:p>
      <w:r>
        <w:rPr>
          <w:b/>
        </w:rPr>
        <w:t>E. 1.5</w:t>
      </w:r>
    </w:p>
    <w:p>
      <w:r>
        <w:t>Le recours est recevable et il y a lieu d’entrer en matière.</w:t>
      </w:r>
    </w:p>
    <w:p>
      <w:r>
        <w:rPr>
          <w:b/>
        </w:rPr>
        <w:t>E. 2</w:t>
      </w:r>
    </w:p>
    <w:p>
      <w:r>
        <w:t>Dans un premier grief, la recourante se prévaut d’une violation de l’art. 2 EIMP, vu les restrictions aux libertés fondamentales en vigueur en Ukraine du fait de la loi martiale instaurée en 2022 (act. 1, p. 4 ss).</w:t>
      </w:r>
    </w:p>
    <w:p>
      <w:r>
        <w:rPr>
          <w:b/>
        </w:rPr>
        <w:t>E. 2.1</w:t>
      </w:r>
    </w:p>
    <w:p>
      <w:r>
        <w:t>Ainsi que la Cour de céans a eu à plusieurs reprises l’occasion de le préciser depuis 2022, la situation en Ukraine ne remet pas en cause l’entraide avec ce pays et ce, nonobstant l’instauration de la loi martiale et de l’état de guerre dans lequel il se trouve (v. arrêts du Tribunal pénal fédéral RR.2023.188 du</w:t>
      </w:r>
    </w:p>
    <w:p>
      <w:r>
        <w:rPr>
          <w:b/>
        </w:rPr>
        <w:t>E. 2.2</w:t>
      </w:r>
    </w:p>
    <w:p>
      <w:r>
        <w:t>A cela s’ajoute que, si la demande d’entraide judiciaire porte sur la remise de moyens de preuve (art. 74 EIMP), seule la personne accusée peut se prévaloir de l’art. 2 EIMP à condition qu’elle se trouve dans l’Etat requérant et soit exposée concrètement à un risque de violation de ses droits de procédure (ATF 130 II 217 consid. 8.2). Or, la recourante ne prétend être ni domiciliée en Ukraine, ni formellement prévenue dans la procédure ukrainienne (menée contre inconnus), de sorte qu’elle n’est pas habilitée à</w:t>
      </w:r>
    </w:p>
    <w:p>
      <w:r>
        <w:t>- 6 -</w:t>
      </w:r>
    </w:p>
    <w:p>
      <w:r>
        <w:t>se prévaloir de l’art. 2 EIMP.</w:t>
      </w:r>
    </w:p>
    <w:p>
      <w:r>
        <w:rPr>
          <w:b/>
        </w:rPr>
        <w:t>E. 2.3</w:t>
      </w:r>
    </w:p>
    <w:p>
      <w:r>
        <w:t>Ce qui scelle le sort du grief.</w:t>
      </w:r>
    </w:p>
    <w:p>
      <w:r>
        <w:t>3. La recourante invoque une violation du principe de proportionnalité. De son point de vue, de très nombreux fichiers que le MPC envisage de remettre à l’Etat requérant ne concerneraient que sa vie privée et seraient sans utilité pour la procédure ukrainienne. C’est pourquoi elle s’oppose à la transmission de cinq groupes de fichiers qu’elle répertorie (act. 1, p. 8 ss).</w:t>
      </w:r>
    </w:p>
    <w:p>
      <w:r>
        <w:t>3.1</w:t>
      </w:r>
    </w:p>
    <w:p>
      <w:r>
        <w:t>3.1.1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w:t>
      </w:r>
    </w:p>
    <w:p>
      <w:r>
        <w:t>- 7 -</w:t>
      </w:r>
    </w:p>
    <w:p>
      <w:r>
        <w:t>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6e éd. 2024, n. 905).</w:t>
      </w:r>
    </w:p>
    <w:p>
      <w:r>
        <w:t>3.1.2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jurisprudence citée).</w:t>
      </w:r>
    </w:p>
    <w:p>
      <w:r>
        <w:t>3.2</w:t>
      </w:r>
    </w:p>
    <w:p>
      <w:r>
        <w:t>3.2.1 De jurisprudence constante, l’autorité d’exécution a le devoir de procéder au tri des documents avant d’ordonner leur remise éventuelle (arrêt du Tribunal pénal fédéral RR.2008.310 du 17 mars 2009 consid. 4.1 et la jurisprudence citée). Elle ne saurait se défausser sur l’Etat requérant et lui remettre toutes les pièces en vrac, sans autre examen de leur pertinence pour la procédure étrangère (ATF 130 II 14 consid. 4.4; arrêt du Tribunal fédéral 1A.107/2006 du 10 août 2006 consid. 2.2; arrêt du Tribunal pénal fédéral RR.2013.58-60 du 28 juin 2013 consid. 2.2). Après un premier tri, l’autorité d’exécution doit inventorier les pièces qu’elle envisage de transmettre et impartir au détenteur un délai pour qu’il puisse faire valoir, pièce par pièce, ses arguments contre la transmission avant le prononcé de la décision de clôture (arrêt du Tribunal fédéral 1A.228/2006 du 11 décembre 2006 consid. 3.2; arrêt du Tribunal pénal fédéral RR.2016.218-229 du 24 mai 2017 consid. 3.3).</w:t>
      </w:r>
    </w:p>
    <w:p>
      <w:r>
        <w:t>3.2.2 En matière d’entraide judiciaire, la participation du détenteur au tri des pièces implique, pour ce dernier, d’aider l’autorité d’exécution, notamment pour éviter que celle-ci n’ordonne des mesures disproportionnées, partant inconstitutionnelles. Il s’agit là d’un véritable devoir, conçu comme un corollaire de la règle de la bonne foi régissant les rapports mutuels entre l’Etat et les particuliers (art. 5 al. 3 Cst.). Ce devoir de collaboration découle du fait que le détenteur des documents en connaît mieux le contenu que l’autorité; il facilite et simplifie la tâche de celle-ci et concourt ainsi au respect du principe de la célérité de la procédure ancré à l’art. 17a al. 1 EIMP. Le droit d’être entendu se dédouble ainsi en un devoir de coopération, dont l’inobservation est punie par le fait que le détenteur ne peut plus soulever</w:t>
      </w:r>
    </w:p>
    <w:p>
      <w:r>
        <w:t>- 8 -</w:t>
      </w:r>
    </w:p>
    <w:p>
      <w:r>
        <w:t>devant l’autorité de recours les arguments qu’il aurait négligé de soumettre à l’autorité d’exécution (ATF 126 II 258 consid. 9b). La personne touchée par la saisie de documents lui appartenant est partant tenue, sous peine de forclusion, d’indiquer à l’autorité quels documents ne devraient pas, selon elle, être transmis et pour quels motifs. A partir du moment où le détenteur sait quels documents l’autorité d’exécution veut transmettre, il lui appartient d’éclairer l’autorité en lui adressant spontanément, de manière précise et détaillée, tous les arguments commandant, selon lui, de ne pas transmettre telle ou telle pièce. Le détenteur ne peut se cantonner à une position passive ou, par exemple, se borner à prétendre que le tri serait impossible à faire, en raison du caractère prétendument lacunaire de la demande (ATF 127 II 151 consid. 4c/aa; 126 II 258 précité consid. 9b/aa; arrêt du Tribunal fédéral 1A.216/2001 du 21 mars 2002 consid. 3.1 et 3.2; v. également arrêts du Tribunal pénal fédéral RR.2023.70 du 26 octobre 2023 consid. 2.1.3; RR.2021.33 du 9 août 2021 consid. 3.3; RR.2021.265 du 8 avril 2022 consid. 3.3.1; RR.2013.127 du 26 juin 2013 consid. 2.2.1; ZIMMERMANN, op. cit., n. 906).</w:t>
      </w:r>
    </w:p>
    <w:p>
      <w:r>
        <w:t>3.3 En l’espèce, après avoir procédé, au moyen de mots-clés fournis par l’Etat requérant, au tri des fichiers contenus dans les téléphone et ordinateur portables de la recourante, le MPC a soumis à cette dernière le résultat du tri, pour qu’elle se détermine. La recourante s’est opposée, pour partie, à la transmission simplifiée des fichiers concernés, soit de cinq d’entre eux, les mêmes que ceux à la transmission desquels elle s’oppose dans son recours (dossier MPC, rubrique 14.01, en particulier, lettre du 29 novembre 2024).</w:t>
      </w:r>
    </w:p>
    <w:p>
      <w:r>
        <w:t>3.4 Or, chacun de ces cinq fichiers contient des pièces et/ou documents identifiables, pour certains en grand nombre. En se limitant, nonobstant l’invitation du MPC et les délais octroyés, à s’opposer à la transmission desdits fichiers, soutenant que « de très nombreux fichiers », sans précision des pièces et/ou documents individuels concernés, auraient trait à sa vie privée et ne seraient pas pertinents ou utiles pour l’enquête ukrainienne, la recourante ne s’est pas conformée à son devoir de collaboration (v. supra consid. 3.2.2), y compris devant la Cour de céans. En outre, comme le relève le MPC, deux des fichiers identifiés par la recourante constituent des listes Excel contenant l’ensemble des pièces triées, de sorte que s’opposer à leur transmission revient à s’opposer à la transmission de l’intégralité des données, y compris celles pour lesquelles la recourante a donné son consentement partiel (act. 7, p. 5).</w:t>
      </w:r>
    </w:p>
    <w:p>
      <w:r>
        <w:t>3.5 Dès lors que les fichiers dont le MPC envisage la transmission à l’autorité requérante correspondent à ceux issus du tri par mots-clés, selon la liste fournie par dite autorité et non contestée par la recourante, il y a lieu</w:t>
      </w:r>
    </w:p>
    <w:p>
      <w:r>
        <w:t>- 9 -</w:t>
      </w:r>
    </w:p>
    <w:p>
      <w:r>
        <w:t>d’admettre leur pertinence potentielle pour la procédure pénale ukrainienne, étant précisé que la présence de données effectivement non pertinentes et/ou relevant de la sphère privée est un inconvénient potentiel inhérent à ce genre de procédures, ne faisant pas obstacle à l’entraide (v. act. 7, p. 4).</w:t>
      </w:r>
    </w:p>
    <w:p>
      <w:r>
        <w:t>3.6 Le grief tombe à faux.</w:t>
      </w:r>
    </w:p>
    <w:p>
      <w:r>
        <w:t>4. Au vu des considérations qui précèdent, le recours doit être rejeté.</w:t>
      </w:r>
    </w:p>
    <w:p>
      <w:r>
        <w:t>5. En tant qu’elle succombe, la recourante doit supporter les frais du présent arrêt (art. 63 al. 1 PA, applicable par renvoi de l’art. 39 al. 2 let. b LOAP), lesquels sont fixés à CHF 4’000.-- (v. art. 73 al. 2 LOAP et art. 8 al. 3 du règlement du Tribunal pénal fédéral sur les frais, émoluments, dépens, et indemnités de la procédure pénale fédérale [RFPPF; RS 173.713.162]; art. 63 al. 5 PA), montant couvert par l’avance de frais versée.</w:t>
      </w:r>
    </w:p>
    <w:p>
      <w:r>
        <w:t>- 10 -</w:t>
      </w:r>
    </w:p>
    <w:p>
      <w:r>
        <w:rPr>
          <w:b/>
        </w:rPr>
        <w:t>E. 7</w:t>
      </w:r>
    </w:p>
    <w:p>
      <w:r>
        <w:t>juin 2024 consid. 2.3; RR.2023.93, RR.2023.117 du 30 janvier 2024 consid. 3.2; RR.2022.203, RR.2022.204 du 27 juin 2023 consid. 9.2; RR.2022.30 du 18 mai 2022 consid. 4.2; RR.2021.300, RR.2021.301 du 17 mai 2022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