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RR.2025.27 vom 18. Juli 2025</w:t>
      </w:r>
    </w:p>
    <w:p>
      <w:r>
        <w:t>Bundesstrafgericht, 2025-07-18, FR</w:t>
      </w:r>
    </w:p>
    <w:p>
      <w:r>
        <w:rPr>
          <w:b/>
        </w:rPr>
        <w:t xml:space="preserve">Quelle: </w:t>
      </w:r>
      <w:r>
        <w:t>https://mcp.opencaselaw.ch/entscheid/bstger_RR.2025.27</w:t>
      </w:r>
    </w:p>
    <w:p>
      <w:r>
        <w:t>FR: TPF RR.2025.27 du 18 juillet 2025</w:t>
      </w:r>
    </w:p>
    <w:p>
      <w:r>
        <w:t>IT: TPF RR.2025.27 del 18 luglio 2025</w:t>
      </w:r>
    </w:p>
    <w:p>
      <w:pPr>
        <w:pStyle w:val="Heading2"/>
      </w:pPr>
      <w:r>
        <w:t>Regeste</w:t>
      </w:r>
    </w:p>
    <w:p>
      <w:r>
        <w:t>Entraide judiciaire internationale en matière pénale à la France; saisie de valeurs (art. 80e al. 2 let. a EIMP); perquisition, séquestre de moyens de preuve (art. 63 al. 2 let. b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par son Deuxième Protocole additionnel (PA II CEEJ; RS 0.351.12), entré en vigueur pour la Suisse le 1er février 2005 et pour la France le 1er juin 2012, ainsi que par l’Accord entre le Conseil fédéral suisse et le Gouvernement de la République française en vue de compléter la CEEJ (Accord CEEJ;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Est également pertinente la Convention des Nations Unies contre la corruption du 31 octobre 2003 (UNCAC; RS 0.311.53), en vigueur pour la Suisse dès le 24 octobre 2009 et pour la France depuis le 14 décembre 2005, en particulier, s’agissant du blanchiment d’argent (indépendamment de la nature du crime préalable), les art. 43 ss et tout spécialement l’art. 46, par renvoi des art. 14 et 23. S’appliquent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 min.ch/fr/sector-specific-agreements/EU-acts-register/8/8.1]; v. arrêt du Tribunal pénal fédéral RR.2008.98 du 18 décembre 2008 consid. 1.3).</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w:t>
      </w:r>
    </w:p>
    <w:p>
      <w:r>
        <w:t>- 7 -</w:t>
      </w:r>
    </w:p>
    <w:p>
      <w:r>
        <w:t>applicable aux questions non réglées explicitement ou implicitement, par les dispositions conventionnelles (art. 1 al. 1 EIMP) ou lorsqu’il est plus favorable à l’entraide (principe « de faveur »; ATF 149 IV 376 consid. 2.1 et références citées; v. ég. ATF 147 II 432 consid. 3; 142 IV 250 consid. 3; 140 IV 123 consid. 2), ce qui est valable aussi dans le rapport entre les normes internationales (v. art. 48 ch. 2 CAAS). L’application de la norme la plus favorable doit avoir lieu dans le respect des droits fondamentaux (ATF 145 IV 294 consid. 2.1; 135 IV 212 consid. 2.3; 123 Il 595 consid. 7c; v. arrêt du Tribunal fédéral 1C_196/2021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 Idem s’agissant du Code de procédure pénale suisse du 5 octobre 2007 (CPP; RS 312.0 [art. 12 al. 1, 2e phrase EIMP et art. 54 CPP]).</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 procédures (BOVAY, Procédure administrative, 2e éd. 2015, p. 218 s.). Bien qu’elle ne soit pas prévue par la PA, l’institution de la jonction des causes est néanmoins admise en pratique (arrêts du Tribunal pénal fédéral RR.2024.119+120 du 27 novembre 2024 et références citées; RR.2022.85-87 du 15 février 2023 consid. 1.3; RR.2021.267-268+269 du 10 février 2022 consid. 2.1; v. RUEDIN, Commentaire romand, 2024, n° 29 ad Intro. art. 1-4 PA; MOSER/BEUSCH/ KNEUBÜHLER/KAYSER, Prozessieren vor dem Bundesverwaltungsgericht, 3e éd. 2022, § 3.17, p. 164). La décision de joindre ou non des causes procède du pouvoir d’appréciation de juge, qui est large en la matière (arrêt du Tribunal fédéral 2C_850/2014, 2C_854/2014 du 10 juin 2016 consid. 11.1, non publié in ATF 142 II 388; arrêts du Tribunal pénal fédéral RR.2008.190-207 du 26 février 2009 consid. 1; RR.2008.216+RR.2008.225- 230 du 20 novembre 2008 consid. 1.2).</w:t>
      </w:r>
    </w:p>
    <w:p>
      <w:r>
        <w:rPr>
          <w:b/>
        </w:rPr>
        <w:t>E. 2.2</w:t>
      </w:r>
    </w:p>
    <w:p>
      <w:r>
        <w:t>In casu, les procédures référencées RR.2025.27 et RR.2025.35 tirent origine de la même cause, à savoir une requête d’entraide française visant, entre autres, le gel des avoirs de diverses personnes, parmi lesquelles la recourante. Cette dernière, qui est représentée par le même conseil</w:t>
      </w:r>
    </w:p>
    <w:p>
      <w:r>
        <w:t>- 8 -</w:t>
      </w:r>
    </w:p>
    <w:p>
      <w:r>
        <w:t>juridique, sollicite la jonction des procédures (RR.2025.35, act. 1, p. 2). Idem s’agissant du MP-VD (RR.2025.35, act. 4). Enfin, l’OFJ estime que la jonction des deux causes est appropriée (RR.2025.35, act. 5). Partant, il convient de joindre les causes et de les traiter dans un seul et même arrêt. Cela est par ailleurs conforme aux principes de célérité et d’économie de procédure.</w:t>
      </w:r>
    </w:p>
    <w:p>
      <w:r>
        <w:rPr>
          <w:b/>
        </w:rPr>
        <w:t>E. 3.1</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3.2</w:t>
      </w:r>
    </w:p>
    <w:p>
      <w:r>
        <w:t>Le délai de recours lorsqu’il s’agit d’une décision incidente est de dix jours (art. 80k 2ème phrase EIMP). Le dies a quo commence à courir dès la communication écrite de la décision, à moins que, en l’absence d’une notification formelle, la personne ait effectivement connaissance de la décision (ATF 136 IV 16 consid. 2.3), le moment de la prise effective de connaissance étant déterminant.</w:t>
      </w:r>
    </w:p>
    <w:p>
      <w:r>
        <w:t>En l’espèce, la décision du MP-VD du 6 février 2025 a été notifiée à la banque H. qui, par courrier « A-Priority » du 11 février suivant, l’a transmise à la recourante (RR.2025.27, act. 8). La date à laquelle la décision susdite est parvenue à cette dernière, qui affirme être revenue en Suisse le 15 février 2025 (RR.2025.27, act. 1, p. 5), ne peut être établie avec certitude. Partant, au vu de l’issue de la cause, la question du respect du délai s’agissant du recours déposé le 25 février 2025 (supra let. I) peut demeurer indécise. Quant au deuxième recours, déposé le 10 mars 2025 contre un prononcé du 27 février 2025 – notifié le 28 février suivant –, il a été interjeté en temps utile.</w:t>
      </w:r>
    </w:p>
    <w:p>
      <w:r>
        <w:rPr>
          <w:b/>
        </w:rPr>
        <w:t>E. 3.3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En cas de collecte d’informations sur des comptes ou de saisie de ceux-ci, le titulaire des</w:t>
      </w:r>
    </w:p>
    <w:p>
      <w:r>
        <w:t>- 9 -</w:t>
      </w:r>
    </w:p>
    <w:p>
      <w:r>
        <w:t>relations bancaires concernées est considéré comme personnellement et directement touché (art. 9a let. a OEIMP; v. ATF 137 IV 134 consid. 5.2.1, 6.1 et références citées). De même, le titulaire d’un coffre-fort bancaire est légitimé à contester les mesures d’entraide judiciaire concernant celui-ci (v. ATF 137 IV 134 consid. 5.2.1; arrêt du Tribunal pénal fédéral RR.2023.160 du 5 mai 2025 consid. 2.1 et référence citée). In casu, la recourante, titulaire de la relation bancaire et du coffre-fort concernés, dispose de la qualité pour recourir.</w:t>
      </w:r>
    </w:p>
    <w:p>
      <w:r>
        <w:rPr>
          <w:b/>
        </w:rPr>
        <w:t>E. 3.4</w:t>
      </w:r>
    </w:p>
    <w:p>
      <w:r>
        <w:t>Lorsqu’une commission rogatoire est transmise à l’autorité d’exécution, cette dernière procède en deux temps. Elle ouvre la procédure d’exécution par une décision d’entrée en matière par laquelle, au terme d’un examen sommaire, elle s’assure qu’aucun motif d’exclusion d’entraide ne fait manifestement obstacle à la demande d’entraide; elle procède ensuite aux actes requis par l’autorité étrangère (art. 80a EIMP). Une fois la demande exécutée et la cause instruite, l’autorité d’exécution statue sur l’octroi et l’étendue de l’entraide; elle rend à cet effet une décision de clôture (art. 80e al. 1 EIMP). En ce qui concerne plus particulièrement les décisions incidentes antérieures à la décision de clôture, elles ne sont attaquables séparément qu’en cas de préjudice immédiat et irréparable découlant, entre autres, de la saisie d’objets ou de valeurs (art. 80e al. 2 let. a EIMP; v. infra consid. 4).</w:t>
      </w:r>
    </w:p>
    <w:p>
      <w:r>
        <w:rPr>
          <w:b/>
        </w:rPr>
        <w:t>E. 3.5</w:t>
      </w:r>
    </w:p>
    <w:p>
      <w:r>
        <w:t>En l’espèce, compte tenu du fait que l’annulation de divers prononcés du MP-VD est requise par la recourante, il convient, sous l’angle de la recevabilité, d’analyser séparément les diverses conclusions de celle-ci.</w:t>
      </w:r>
    </w:p>
    <w:p>
      <w:r>
        <w:rPr>
          <w:b/>
        </w:rPr>
        <w:t>E. 3.5.1</w:t>
      </w:r>
    </w:p>
    <w:p>
      <w:r>
        <w:t>Cette dernière conclut à l’annulation de plusieurs chiffres du dispositif de la décision du MP-VD du 6 février 2025, cela dans la mesure où l’autorité précitée a décidé, premièrement, d’entrer en matière; deuxièmement, d’ordonner le gel des avoirs dont l’intéressée serait titulaire; et, troisièmement, de bloquer le coffre-fort qu’elle loue auprès de la banque H.</w:t>
      </w:r>
    </w:p>
    <w:p>
      <w:r>
        <w:t>S’agissant du premier volet, elle ne saurait être suivie. Puisque le MP-VD a décidé d’entrer en matière sur la commission rogatoire complémentaire, ce point, de nature incident, ne figure pas parmi les exceptions prévues à l’art. 80e al. 2 EIMP. Il ne peut dès lors être attaqué à ce stade. Il pourra, le cas échéant, être contesté auprès de la Cour de céans conjointement avec la décision de clôture de la procédure d’entraide (art. 80e al. 1 EIMP). La conclusion de la recourante à ce sujet est donc irrecevable. Tel est également le sort de celle visant, de manière générale, à ce qu’il soit refusé d’entrer en matière sur la demande d’assistance judiciaire du 29 novembre 2024, complétée les 8 janvier et 4 février 2025 (supra let. A, C et E), étant</w:t>
      </w:r>
    </w:p>
    <w:p>
      <w:r>
        <w:t>- 10 -</w:t>
      </w:r>
    </w:p>
    <w:p>
      <w:r>
        <w:t>souligné, par surabondance, qu’une telle conclusion va au-delà du pouvoir de cognition de l’autorité de céans, pouvoir qui est circonscrit par le prononcé litigieux soit, en l’espèce, la décision du MP-VD du 6 février 2025.</w:t>
      </w:r>
    </w:p>
    <w:p>
      <w:r>
        <w:t>En ce qui concerne le deuxième volet, soit l’ordre de l’autorité d’exécution de geler les avoirs bancaires, l’intéressée est habilitée à l’attaquer. Une telle décision ouvre la voie de recours dès le moment où elle cause un préjudice immédiat et irréparable au sens de l’art. 80e al. 2 let. a EIMP. Il convient donc d’entrer en matière sur ce point.</w:t>
      </w:r>
    </w:p>
    <w:p>
      <w:r>
        <w:t>Enfin, s’agissant du troisième volet, soit l’ordre de bloquer le coffre-fort de l’intéressée, les griefs tendant à l’annulation de cette mesure, voire à la levée immédiate de celle-ci, sont dépourvus d’objet. En effet, le MP-VD a ordonné la levée de dite mesure le 27 février 2025 (supra let. J).</w:t>
      </w:r>
    </w:p>
    <w:p>
      <w:r>
        <w:rPr>
          <w:b/>
        </w:rPr>
        <w:t>E. 3.5.2</w:t>
      </w:r>
    </w:p>
    <w:p>
      <w:r>
        <w:t>La recourante requiert également l’annulation du mandat de perquisition du 17 février 2025 (supra let. G). Le prononcé précité ne figure pas parmi les décisions incidentes antérieures susceptibles de recours (v. art. 80e al. 2 EIMP; arrêt du Tribunal pénal fédéral RR.2017.19+RP.2017.9 du 4 avril 2017 consid. 1.4.1). Toutefois, dans la mesure où il ordonne le séquestre des valeurs du coffre-fort au nom de l’intéressée et que par ordonnance du 27 février 2025 (supra let. J) le MP-VD a confirmé le séquestre des valeurs, il convient d’examiner la question du préjudice immédiat et irréparable.</w:t>
      </w:r>
    </w:p>
    <w:p>
      <w:r>
        <w:rPr>
          <w:b/>
        </w:rPr>
        <w:t>E. 3.6</w:t>
      </w:r>
    </w:p>
    <w:p>
      <w:r>
        <w:t>Au vu de ce qui précède, il se justifie d’examiner si, malgré leur caractère incident, les décisions du MP-VD ordonnant le gel des avoirs bancaires et le séquestre des valeurs patrimoniales saisies dans le coffre-fort peuvent faire l’objet d’un recours direct au regard de l’art. 80e al. 2 let. a EIMP. Il convient donc d’entrer en matière, et cela dans les limites qui viennent d’être précisées.</w:t>
      </w:r>
    </w:p>
    <w:p>
      <w:r>
        <w:rPr>
          <w:b/>
        </w:rPr>
        <w:t>E. 4</w:t>
      </w:r>
    </w:p>
    <w:p>
      <w:r>
        <w:t>La recourante considère, de manière générale, que les prononcés querellés portent atteinte au principe de proportionnalité et à diverses dispositions légales (art. 5 al. 2, 12, 26 al. 1 et 36 de la Constitution fédérale de la Confédération suisse du 18 avril 1999 [Cst.; RS 101] et art. 63 et 64 EIMP). Tout en contestant un quelconque lien de connexité entre les objets et valeurs saisis et les infractions poursuivies en France, elle estime que la commission rogatoire complémentaire – du 4 février 2025 – sollicite « en vrac » le gel ou la saisie des avoirs de la famille de A. sans opérer le moindre lien avec les faits exposés à l’appui de la demande d’entraide. De plus, les mesures attaquées aboutiraient à une atteinte immédiate, irréparable et insoutenable puisque le blocage de ses avoirs lui cause un dommage</w:t>
      </w:r>
    </w:p>
    <w:p>
      <w:r>
        <w:t>- 11 -</w:t>
      </w:r>
    </w:p>
    <w:p>
      <w:r>
        <w:t>important et l’expose à des poursuites. Partant, la recourante requiert la levée partielle, à concurrence de CHF 14’356.80, du séquestre portant sur sa relation bancaire auprès de la banque H., montant nécessaire au titre du respect de son minimum vital et pour faire face à diverses obligations urgentes (assurance maladie, charges de copropriété, cotisations trimestrielles AVS, impôts [RR.2025.27, act. 1, p. 9 ss]). Elle sollicite également et pour les mêmes raisons la levée, à hauteur de CHF 14’356.80, du séquestre portant sur les valeurs séquestrées dans le coffre-fort (RR.2025.37, act. 1, p. 11 ss).</w:t>
      </w:r>
    </w:p>
    <w:p>
      <w:r>
        <w:rPr>
          <w:b/>
        </w:rPr>
        <w:t>E. 4.1</w:t>
      </w:r>
    </w:p>
    <w:p>
      <w:r>
        <w:t>À teneur de l’art. 18 al. 1 EIMP, si un État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En droit international comme en droit interne, la saisie est une mesure préalable qui entraîne nécessairement une décision subséquente (ATF 120 IV 164 consid. 1c; 117 Ia 424 consid. 20a). S’agissant plus particulièrement du séquestre, la décision par laquelle l’autorité d’exécution ordonne la saisie est une décision incidente au sens de l’art. 80e al. 2 EIMP. Cela s’applique également, en principe, au prononcé par lequel l’autorité d’exécution confirme le séquestre ou rejette une requête tendant à sa levée (TPF 2007 124 consid. 2.2).</w:t>
      </w:r>
    </w:p>
    <w:p>
      <w:r>
        <w:rPr>
          <w:b/>
        </w:rPr>
        <w:t>E. 4.2.1</w:t>
      </w:r>
    </w:p>
    <w:p>
      <w:r>
        <w:t>Le séquestre comme mesure aboutissant à une restriction du droit de propriété n’est compatible avec la Constitution fédérale que s’il se justifie par un intérêt public suffisant et respecte le principe de proportionnalité (art. 26 al. 1 Cst. en relation avec l’art. 36 al. 1 à 3 Cst.; v. ATF 126 I 219 consid. 2a).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118 Ia 394 consid. 2b et références citées). Un séquestre peut ainsi apparaître disproportionné lorsqu’il s’éternise sans motif suffisant ou lorsque l’autorité chargée de l’instruction pénale ne mène pas celle-ci avec une célérité suffisante (arrêts du Tribunal fédéral 1C_348/2024 du 26 août 2024 consid. 3.2 et références citées; 1C_152/2018 du 18 juin 2018 consid. 6.1; arrêts du Tribunal pénal fédéral RR.2020.76-78 du 27 juillet 2020 consid. 2.2.1; RR.2017.131-144 du 27 mars 2018 consid. 7.2.1). L’écoulement du temps crée par ailleurs le risque d’une atteinte excessive à la garantie de la propriété ou à l’obligation de célérité (art. 26 al. 1 et 29 al. 1 Cst.; ATF 126 II 462 consid. 5e; TPF 2007</w:t>
      </w:r>
    </w:p>
    <w:p>
      <w:r>
        <w:t>- 12 -</w:t>
      </w:r>
    </w:p>
    <w:p>
      <w:r>
        <w:t>124 consid. 8.1), ce qui peut aboutir, après l’écoulement d’un certain temps, à la levée de la mesure de contrainte ou au refus de l’entraide (arrêt du Tribunal pénal fédéral RR.2014.179-181 du 25 novembre 2014 consid. 3; TPF 2007 124 consid. 8.1).</w:t>
      </w:r>
    </w:p>
    <w:p>
      <w:r>
        <w:rPr>
          <w:b/>
        </w:rPr>
        <w:t>E. 4.2.2</w:t>
      </w:r>
    </w:p>
    <w:p>
      <w:r>
        <w:t>Il en découle que le séquestre doit être proportionné tant dans son étendue que dans sa durée (ZIMMERMANN, La coopération judiciaire internationale en matière pénale, 6e éd. 2024, n° 895). En matière d’entraide judiciaire, l’intérêt privé des titulaires de biens séquestrés doit être mis en balance non seulement avec l’intérêt de l’État requérant à recueillir les preuves nécessaires à sa procédure pénale ou à obtenir la remise de valeurs en vue de confiscation ou de restitution, mais aussi avec le devoir de la Suisse de s’acquitter de ses obligations internationales (arrêt du Tribunal fédéral 1C_30/2022 du 9 février 2022 consid. 1.3). S’agissant d’une procédure administrative ouverte à la requête d’un État étranger, la pratique se montre ainsi plus tolérante qu’en matière de procédure pénale. La règle est que les objets et valeurs dont la remise est subordonnée à une décision définitive et exécutoire dans l’État requérant au sens de l’art. 74a al. 1 et 3 EIMP demeurent saisis jusqu’à réception de la décision étrangère ou jusqu’à ce que l’État requérant fasse savoir à l’autorité d’exécution qu’une telle décision ne peut plus être rendue selon son propre droit, notamment à raison de la prescription (art. 33a OEIMP; ATF 149 IV 144 consid. 2.6; arrêts du Tribunal fédéral 1C_348/2024 précité consid. 3.2; 1C_152/2018 précité consid. 6.1; 2A.511/2005 du 16 février 2009 consid. 5.3.3 et les références citées; TPF 2007 124 consid. 8.1; arrêts du Tribunal pénal fédéral RR.2020.76-78 précité consid. 2.2.2; RR.2017.131-144 précité consid. 7.2.2). En règle générale, l’existence d’une procédure pénale au sens de l’art. 63 al. 3 EIMP suffit pour que l’assistance soit accordée. Cela signifie que l’entraide peut être accordée à un stade très précoce de la procédure. En revanche la remise des avoirs en vue de leur confiscation ou de leur restitution n’est, comme déjà mentionné, généralement possible qu’après la conclusion de la procédure pénale ou de confiscation étrangère, lorsqu’un jugement définitif a été rendu (ATF 126 II 462 consid. 5c et référence citée; arrêt du Tribunal pénal fédéral RR.2020.304 du 26 février 2021 consid. 1.4.2 et références citées).</w:t>
      </w:r>
    </w:p>
    <w:p>
      <w:r>
        <w:rPr>
          <w:b/>
        </w:rPr>
        <w:t>E. 4.3.1</w:t>
      </w:r>
    </w:p>
    <w:p>
      <w:r>
        <w:t>Le prononcé d’une saisie ne crée pas ipso facto un dommage immédiat et irréparable ouvrant la voie d’un recours. Pour que la condition de l’art. 80e al. 2 let. a EIMP soit remplie, il faut que la personne touchée rende vraisemblable que la mesure qu’elle critique lui cause un tel dommage et en quoi celui-ci pourrait être évité par l’annulation du prononcé attaqué (ATF 130 II 329 consid. 2; 128 II 211 consid. 2.1). L’existence d’un préjudice</w:t>
      </w:r>
    </w:p>
    <w:p>
      <w:r>
        <w:t>- 13 -</w:t>
      </w:r>
    </w:p>
    <w:p>
      <w:r>
        <w:t>immédiat et irréparable ne peut être admise que dans l’un ou l’autre cas visé par l’art. 80e al. 2 EIMP, dont l’énumération est en principe exhaustive (ATF 127 II 198 consid. 2b et référence citée; TPF 2011 205 consid. 1.4). Quant à la notion de préjudice immédiat et irréparable au sens de la disposition précitée, elle doit être interprétée de manière restrictive (arrêt du Tribunal fédéral 1C_489/2021 du 27 septembre 2022 consid. 2.2 et références citées; arrêt du Tribunal pénal fédéral RR.2022.164 du 19 janvier 2023 consid. 2.4.6.1 et référence citée).</w:t>
      </w:r>
    </w:p>
    <w:p>
      <w:r>
        <w:rPr>
          <w:b/>
        </w:rPr>
        <w:t>E. 4.3.2</w:t>
      </w:r>
    </w:p>
    <w:p>
      <w:r>
        <w:t>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un tel préjudice doit être immédiat c’est-à-dire imparable (arrêts du Tribunal pénal fédéral RR.2023.145+146 du 2 novembre 2023 consid. 3.1.2; RR.2022.164 précité consid. 2.4.6.1)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(ATF 130 II 329 consid. 2; arrêts du Tribunal fédéral 1A.206/2001 du 9 janvier 2002 consid. 2.2; 1A.39/2002 du 2 avril 2002 consid. 3; arrêts du Tribunal pénal fédéral RR.2015.319 du 7 janvier 2016; RR.2007.126 du 26 septembre 2007 consid. 2.3); de même, le recourant doit rendre vraisemblable qu’il ne dispose pas d’autres ressources financières en suffisance pour faire face à ses obligations (arrêt du Tribunal fédéral 1A.130/2006 du 28 juillet 2006 consid. 1.3; arrêts du Tribunal pénal fédéral RR.2021.219-221+230-232 du 3 novembre 2021;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 arrêt du Tribunal pénal fédéral RR.2021.128 du 1er juillet 2021).</w:t>
      </w:r>
    </w:p>
    <w:p>
      <w:r>
        <w:rPr>
          <w:b/>
        </w:rPr>
        <w:t>E. 4.3.3</w:t>
      </w:r>
    </w:p>
    <w:p>
      <w:r>
        <w:t>La question du minimum vital ne se pose pas lorsqu’il s’agit de la saisie du produit de l’infraction (direct ou de remplacement; ATF 141 IV 360 consid. 3.1 in fine). L’intégralité des valeurs doit demeurer à disposition de la justice aussi longtemps qu’il subsiste un doute quant à leur provenance</w:t>
      </w:r>
    </w:p>
    <w:p>
      <w:r>
        <w:t>- 14 -</w:t>
      </w:r>
    </w:p>
    <w:p>
      <w:r>
        <w:t>criminelle (arrêt du Tribunal fédéral 7B_19/2025 du 4 avril 2025 consid. 2.2.2 et référence citée; 1B_500/2018 du 11 février 2019 consid. 6.1 et référence citée). En effet, lors de l’examen du séquestre conservatoire, l’autorité statue sous l’angle de la vraisemblance, examinant des prétentions encore incertaines (ATF 143 IV 357 consid. 1.2.3 et références citées). Dès lors, tant que l’instruction n’est pas achevée et que subsiste une probabilité de confiscation, de créance compensatrice ou d’une allocation au lésé, la mesure conservatoire doit être maintenue (ATF 141 IV 360 consid. 3.2; arrêt du Tribunal fédéral 7B_19/2025 précité consid. 2.2.2). Dans l’hypothèse où le séquestre tend à garantir une éventuelle créance compensatrice, celui-ci peut porter sur tous les biens, valeurs et/ou revenus de l’intéressé sans qu’un lien de connexité avec l’infraction ne soit exigé (ATF 141 IV 360 consid. 3.2; 140 IV 57 consid. 4.1.2; v. ég. arrêt du Tribunal fédéral 1C_30/2022 précité consid. 1.3). Tant que l’étendue de la mesure ne paraît pas manifestement violer le principe de la proportionnalité, notamment – à l’instar du séquestre en couverture de frais – sous l’angle du respect des conditions minimales d’existence (ATF 141 IV 360 consid. 3.2 et les arrêts cités; arrêt du Tribunal fédéral 1B_503/2020 du 18 décembre 2020 consid. 5.2; décision du Tribunal pénal fédéral BB.2020.212 du 9 septembre 2020 consid. 2.2.2 et 2.2.3), le séquestre doit être maintenu (arrêt du Tribunal pénal fédéral RR.2021.226- 228 du 5 janvier 2022 consid. 5.5 et 5.11). Lors du prononcé de la mesure, il sied de tenir compte de l’éventuelle atteinte au minimum vital en se référant aux Lignes directrices pour le calcul du minimum vital en application des art. 92 à 94 de la loi fédérale sur la poursuite pour dettes et la faillite du 11 avril 1889 (RS 281.1; LP), ce, dans la mesure où le séquestre porte sur la totalité des revenus du prévenu et qu’il est assimilable à un séquestre sur salaire du droit des poursuites (ATF 141 IV 360 consid. 3.4). Hormis cette exception, la situation personnelle, notamment financière, du prévenu sera de la compétence du juge du fond. En cas de saisie conservatoire, notamment lorsqu’il est vraisemblable que les valeurs saisies sont le produit de l’infraction, les principes de la LP susmentionnés ne sont manifestement pas applicables (ATF 141 IV 360 consid. 3.2, arrêt du Tribunal fédéral 1B_118/2012 du 19 juillet 2012 consid. 3.2).</w:t>
      </w:r>
    </w:p>
    <w:p>
      <w:r>
        <w:rPr>
          <w:b/>
        </w:rPr>
        <w:t>E. 4.4</w:t>
      </w:r>
    </w:p>
    <w:p>
      <w:r>
        <w:t>In casu, l’autorité requérante a, dans le cadre des investigations qu’elle mène des chefs de corruption active et passive, blanchiment de corruption, blanchiment de fraude fiscale aggravée, présomption de blanchiment et violation de la loi anti-cadeaux, expressément sollicité le gel ou la saisie des avoirs de la famille de A. et de la société D. Sàrl afin de garantir la disposition de ces avoirs en cas de prononcé d’une peine de confiscation (act. 7.A, onglet « PIECES », « P. 15 »). D’après les informations transmises aux autorités helvétiques, en dernier lieu le 26 mars 2025, l’enquête porte sur le versement, à la société susmentionnée, de commissions pour un montant</w:t>
      </w:r>
    </w:p>
    <w:p>
      <w:r>
        <w:t>- 15 -</w:t>
      </w:r>
    </w:p>
    <w:p>
      <w:r>
        <w:t>s’élevant à près d’EUR 2 millions (v. supra let. A; act. 14.1). Quant au « produit exact de la corruption », il est en cours d’établissement, les divers documents saisis sur territoire français lors de multiples opérations de perquisition étant en cours d’analyse (act. 14.1). Il découle que la recourante ne saurait être suivie lorsqu’elle affirme qu’il n’y aurait aucun lien de connexité entre les valeurs saisies et les infractions poursuivies en France ou que les autorités requérantes auraient sollicité le gel des avoirs de sa famille « en vrac ». Contrairement à ses dires, les informations fournies par l’autorité requérante s’avèrent suffisantes pour comprendre le complexe de faits sous enquête et l’éventuelle implication des divers membres de sa famille, dont notamment de C., principal partenaire de la société B. à l’étranger (v. supra let. A) et époux de la recourante. C’est dans ce contexte et à bon droit que le MP-VD a ordonné le séquestre des valeurs patrimoniales de la relation bancaire n° 1 ouverte au nom de la recourante (montant des avoirs au 6 février 2025 de CHF 49’968.-- [act. 7.A, onglet « PIECES », « P. 25-1 »]) et du contenu de son coffre-fort (valeurs séquestrées: EUR 41’350.--, CHF 55’400.-- et 142 Louis d’or [RR.2025.35, act. 1.2, p. 3]).</w:t>
      </w:r>
    </w:p>
    <w:p>
      <w:r>
        <w:t>Il convient également de retenir, d’une part, que le montant des valeurs saisies est nettement inférieur à celui des commissions qui auraient été perçues par D. Sàrl – société qui a été détenue par divers membres de la famille de A. – et, d’autre part, qu’il n’est pas possible de conclure, à ce stade des investigations, que les valeurs en question ne sont pas liées aux infractions sous enquête et qu’elles ne pourront pas, à l’issue de la procédure étrangère, être confisquées (art. 74a EIMP) voire, le cas échéant, faire l’objet d’une créance compensatrice (art. 94 ss EIMP; v. ATF 149 IV 376 consid. 6); ce qui justifie déjà le maintien des mesures entreprises (v. supra consid. 4.2.2). S’agissant du montant exact du butin, il appartiendra à l’autorité de l’État requérant de le déterminer tout au long de l’enquête en cours ainsi qu’elle s’est d’ailleurs déjà attelée à le faire puisqu’elle explicite avoir entamé « un long travail de reconstitution des flux financiers et de leur causalité » (act. 14.1). Quoi qu’il en soit, compte tenu des sommes mises en avant par les autorités requérantes, le montant des valeurs séquestrées en Suisse ne peut être considéré comme disproportionné puisque nettement inférieur aux premières estimations de l’autorité requérante. Quant à la durée des mesures querellées, elle ne s’avère pas, à ce jour, excessive et donc disproportionnée. En effet, il suffit d’observer qu’elles ont été ordonnées en dates du 6 et 27 février 2025. Partant, n’en déplaise à l’intéressée, les séquestres s’avèrent proportionnés tant quant à leur étendue qu’à leur durée.</w:t>
      </w:r>
    </w:p>
    <w:p>
      <w:r>
        <w:t>De plus, s’agissant d’une saisie de valeurs pouvant être le produit de</w:t>
      </w:r>
    </w:p>
    <w:p>
      <w:r>
        <w:t>- 16 -</w:t>
      </w:r>
    </w:p>
    <w:p>
      <w:r>
        <w:t>l’infraction, l’on ne se trouve pas dans un cas d’application des art. 92 à 94 LP (v. supra consid. 4.3.3). Que ce soit dans l’hypothèse d’une confiscation ou d’une créance compensatrice, il reviendra au juge de fond étranger, au moment du prononcé de l’une ou l’autre de ces mesures, de prendre en considération la situation personnelle – et notamment financière – des diverses parties impliquées, parmi lesquelles, la recourante. À relever, de surcroît, que cette dernière n’a pas fourni d’éléments concrets et convaincants démontrant que les valeurs séquestrées ne sont incontestablement pas liées au complexe de faits sous enquête. Dans un tel cas, le principe (à la base de la confiscation) est que le crime ne doit pas profiter à son auteur (ATF 144 IV 1 consid. 4.2.1; 144 IV 155 consid. 4.1 et les références citées) et que la Suisse, saisie d’une demande d’entraide judiciaire, doit faire prévaloir le respect de ses obligations internationales (v. supra consid. 4.2.2) et notamment des art. 7, 11 et 13 CBI. Dans ces conditions, les prononcés attaqués ne sont pas contraires à la loi et la question du minimum vital de la recourante n’est pas pertinente. Il convient de préciser, par surabondance, que le juge de l’entraide n’est en l’occurrence pas en mesure d’apprécier la situation financière globale de l’intéressée puisqu’il ressort de la commission rogatoire que cette dernière et son époux, qui disposent d’une adresse en République dominicaine, détiendraient diverses structures, notamment basées à Madère (où ils géreraient la location de leur yacht de luxe) ainsi qu’au Panama (société détentrice d’un hôtel-casino en République dominicaine [act. 7.A, onglet « PIECES », « P. 4-1 », p. 3]).</w:t>
      </w:r>
    </w:p>
    <w:p>
      <w:r>
        <w:rPr>
          <w:b/>
        </w:rPr>
        <w:t>E. 5</w:t>
      </w:r>
    </w:p>
    <w:p>
      <w:r>
        <w:t>Sur le vu de ce qui précède, la recourante a failli à démontrer un préjudice immédiat et irréparable ce qui implique que les recours doivent être rejetés dans la mesure de leur recevabilité.</w:t>
      </w:r>
    </w:p>
    <w:p>
      <w:r>
        <w:rPr>
          <w:b/>
        </w:rPr>
        <w:t>E. 6</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du 31 août 2010 [RFPPF; RS 173.713.162]; v. art. 63 al. 4bis PA). En l’espèce, en tant que partie qui succombe, la recourante doit supporter les frais du présent arrêt, lesquels sont fixés à CHF 2’000.--, intégralement couverts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