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RR.2025.22 vom 18. Juli 2025</w:t>
      </w:r>
    </w:p>
    <w:p>
      <w:r>
        <w:t>Bundesstrafgericht, 2025-07-18, FR</w:t>
      </w:r>
    </w:p>
    <w:p>
      <w:r>
        <w:rPr>
          <w:b/>
        </w:rPr>
        <w:t xml:space="preserve">Quelle: </w:t>
      </w:r>
      <w:r>
        <w:t>https://mcp.opencaselaw.ch/entscheid/bstger_RR.2025.22</w:t>
      </w:r>
    </w:p>
    <w:p>
      <w:r>
        <w:t>FR: TPF RR.2025.22 du 18 juillet 2025</w:t>
      </w:r>
    </w:p>
    <w:p>
      <w:r>
        <w:t>IT: TPF RR.2025.22 del 18 luglio 2025</w:t>
      </w:r>
    </w:p>
    <w:p>
      <w:pPr>
        <w:pStyle w:val="Heading2"/>
      </w:pPr>
      <w:r>
        <w:t>Regeste</w:t>
      </w:r>
    </w:p>
    <w:p>
      <w:r>
        <w:t>Entraide judiciaire internationale en matière pénale à la France; saisie de valeurs (art. 80e al. 2 let. a EIMP); effet suspensif (art. 80l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son Deuxième Protocole additionnel (PA II CEEJ; RS 0.351.12), entré en vigueur pour la Suisse le 1er février 2005 et pour la France le 1er juin 2012, ainsi que par l’Accord entre le Conseil fédéral suisse et le Gouvernement de la République française en vue de compléter la CEEJ (Accord CEEJ;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Est également pertinente la Convention des Nations Unies contre la corruption du 31 octobre 2003 (UNCAC; RS 0.311.56), en vigueur pour la Suisse dès le 24 octobre 2009 et pour la France depuis le 14 décembre 2005, en particulier, s’agissant du blanchiment d’argent (indépendamment de la nature du crime préalable), les art. 43 ss et tout spécialement l’art. 46, par renvoi des art. 14 et 23. S’appliquent aussi à l’entraide pénale entre ces deux États,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w:t>
      </w:r>
    </w:p>
    <w:p>
      <w:r>
        <w:rPr>
          <w:b/>
        </w:rPr>
        <w:t>E. 1.2</w:t>
      </w:r>
    </w:p>
    <w:p>
      <w:r>
        <w:t>Les dispositions des traités précités l’emportent sur le droit interne régissant</w:t>
      </w:r>
    </w:p>
    <w:p>
      <w:r>
        <w:t>- 6 -</w:t>
      </w:r>
    </w:p>
    <w:p>
      <w:r>
        <w:t>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 de faveur »; ATF 149 IV 376 consid. 2.1 et références citées; v. ég. 147 II 432 consid. 3; 142 IV 250 consid. 3; 140 IV 123 consid. 2), ce qui est valable aussi dans le rapport entre les normes internationales (v. art. 48 ch. 2 CAAS). L’application de la norme la plus favorable doit avoir lieu dans le respect des droits fondamentaux (ATF 145 IV 294 consid. 2.1; 135 IV 212 consid. 2.3; 123 Il 595 consid. 7c; v. arrêt du Tribunal fédéral 1C_196/2021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 Idem s’agissant du Code de procédure pénale suisse du 5 octobre 2007 (CPP; RS 312.0 [art. 12 al. 1, 2e phrase EIMP et art. 54 CPP]).</w:t>
      </w:r>
    </w:p>
    <w:p>
      <w:r>
        <w:rPr>
          <w:b/>
        </w:rPr>
        <w:t>E. 2.1</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LOAP mis en relation avec les art. 25 al. 1 et 80e al. 1 EIMP). Elle n’est pas liée par les conclusions des parties (art. 25 al. 6 EIMP; GLESS/SCHAFFNER, Basler Kommentar, 2015, n° 43 ad art. 25 EIMP) et statue avec une cognition pleine sur les griefs soulevés (arrêt du Tribunal pénal fédéral RR.2021.294 du 23 juin 2022 consid. 1.2 et références citées).</w:t>
      </w:r>
    </w:p>
    <w:p>
      <w:r>
        <w:rPr>
          <w:b/>
        </w:rPr>
        <w:t>E. 2.2</w:t>
      </w:r>
    </w:p>
    <w:p>
      <w:r>
        <w:t>Le délai de recours lorsqu’il s’agit d’une décision incidente est de dix jours (art. 80k 2ème phrase EIMP). Le dies a quo commence à courir dès la communication écrite de la décision, à moins que, en l’absence d’une notification formelle, la personne ait effectivement eu connaissance de la décision (ATF 136 IV 16 consid. 2.3), le moment de la prise effective de connaissance étant déterminant. En l’espèce, la décision entreprise, datée du 6 février 2025, a été communiquée aux recourants, avec le dossier de la cause, le 7 février suivant. Le recours, daté du 17 février 2025, est donc intervenu en temps utile.</w:t>
      </w:r>
    </w:p>
    <w:p>
      <w:r>
        <w:rPr>
          <w:b/>
        </w:rPr>
        <w:t>E. 2.3</w:t>
      </w:r>
    </w:p>
    <w:p>
      <w:r>
        <w:t>Aux termes de l’art. 80h let. b EIMP, a qualité pour recourir en matière</w:t>
      </w:r>
    </w:p>
    <w:p>
      <w:r>
        <w:t>- 7 -</w:t>
      </w:r>
    </w:p>
    <w:p>
      <w:r>
        <w:t>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En cas de collecte d’informations sur des comptes ou de saisie de ceux-ci, le titulaire des relations bancaires concernées est considéré comme personnellement et directement touché (art. 9a let. a OEIMP; v. ATF 137 IV 134 consid. 5.2.1, 6.1 et références citées). In casu, les recourants, titulaires des relations bancaires dont les valeurs ont été séquestrées, disposent de la qualité pour recourir.</w:t>
      </w:r>
    </w:p>
    <w:p>
      <w:r>
        <w:rPr>
          <w:b/>
        </w:rPr>
        <w:t>E. 2.4.1</w:t>
      </w:r>
    </w:p>
    <w:p>
      <w:r>
        <w:t>Lorsqu’une commission rogatoire est transmise à l’autorité d’exécution, cette dernière procède en deux temps. Elle ouvre la procédure d’exécution par une décision d’entrée en matière par laquelle, au terme d’un examen sommaire, elle s’assure qu’aucun motif d’exclusion d’entraide ne fait manifestement obstacle à la demande d’assistance judiciaire; elle procède ensuite aux actes requis par l’autorité étrangère (art. 80a EIMP). Une fois la demande exécutée et la cause instruite, l’autorité d’exécution statue sur l’octroi et l’étendue de l’entraide; elle rend à cet effet une décision de clôture (art. 80e al. 1 EIMP). En ce qui concerne plus particulièrement les décisions incidentes antérieures à la décision de clôture, elles ne sont attaquables séparément qu’en cas de préjudice immédiat et irréparable découlant, entre autres, de la saisie d’objets ou de valeurs (art. 80e al. 2 let. a EIMP; v. infra consid. 3).</w:t>
      </w:r>
    </w:p>
    <w:p>
      <w:r>
        <w:rPr>
          <w:b/>
        </w:rPr>
        <w:t>E. 2.4.2</w:t>
      </w:r>
    </w:p>
    <w:p>
      <w:r>
        <w:t>De manière générale, lorsqu’un recours est formé contre une décision incidente, l’examen de la Cour des plaintes ne porte que sur le bien-fondé de la mesure contestée et non pas sur d’autres griefs qui doivent, le cas échéant, être soulevés au stade de la clôture de la procédure d’entraide.</w:t>
      </w:r>
    </w:p>
    <w:p>
      <w:r>
        <w:t>In casu, le prononcé entrepris a trait, en substance, à la décision de l’autorité d’exécution d’entrer en matière sur la commission rogatoire complémentaire des autorités françaises, d’une part, et au séquestre des avoirs bancaires des recourants, d’autre part (supra let. F). En ce qui concerne la décision d’entrer en matière, de nature incidente, elle ne figure pas parmi les exceptions prévues à l’art. 80e al. 2 EIMP. Elle ne peut dès lors être attaquée à ce stade. Elle pourra, le cas échéant, être déférée auprès de la Cour de céans conjointement avec la décision de clôture de la procédure d’entraide (art. 80e al. 1 EIMP). De plus, dans la mesure où les recourants contestent les conditions permettant d’octroyer l’entraide (v. act. 1, p. 8; act. 10, p. 4), leurs conclusions sont irrecevables.</w:t>
      </w:r>
    </w:p>
    <w:p>
      <w:r>
        <w:t>- 8 -</w:t>
      </w:r>
    </w:p>
    <w:p>
      <w:r>
        <w:t>Ils sont en revanche habilités à attaquer une décision incidente visant la saisie de leurs valeurs. Une telle décision ouvre la voie de recours dès le moment où elle leur cause un préjudice immédiat et irréparable au sens de l’art. 80e al. 2 let. a EIMP. Il convient donc, dans les limites qui viennent d’être précisées, d’entrer en matière.</w:t>
      </w:r>
    </w:p>
    <w:p>
      <w:r>
        <w:rPr>
          <w:b/>
        </w:rPr>
        <w:t>E. 3</w:t>
      </w:r>
    </w:p>
    <w:p>
      <w:r>
        <w:t>Les recourants considèrent, de manière générale, que la décision querellée porte atteinte aux art. 63 et 64 EIMP et art. 12 de la Constitution fédérale de la Confédération suisse du 18 avril 1999 (Cst.; RS 101). Tout en contestant un quelconque soupçon de commission d’une infraction, A. estime que le blocage de l’ensemble de ses comptes bancaires et ceux de ses sociétés a été fait sans aucune distinction et sans tenir compte de l’atteinte manifeste à son minimum vital et à celui de sa famille. Son épouse ayant un revenu indépendant et irrégulier, le prénommé allègue qu’ils dépendent des avoirs bloqués pour payer leurs factures courantes et garantir leur minimum vital. Le préjudice qu’il subit serait ainsi immédiat et irréparable, la mesure querellée étant injustifiée et disproportionnée. Partant, A. requiert la levée, à tout le moins partiellement et à hauteur de CHF 10'000.-- par mois, du séquestre portant sur sa relation bancaire auprès de la banque I. SA, montant nécessaire aux besoins personnels et familiaux ainsi qu’au paiement du loyer de B. Sàrl. Il s’agirait d’assurer le paiement régulier de son salaire, afin de couvrir son minimum vital ainsi que celui de sa famille. A. sollicite également et pour les mêmes raisons, la levée, à tout le moins partielle et à hauteur de CHF 10'000.-- par mois, du séquestre portant sur la relation bancaire de B. Sàrl auprès de la banque H. AG (act. 1, p. 7 ss).</w:t>
      </w:r>
    </w:p>
    <w:p>
      <w:r>
        <w:rPr>
          <w:b/>
        </w:rPr>
        <w:t>E. 3.1</w:t>
      </w:r>
    </w:p>
    <w:p>
      <w:r>
        <w:t>À teneur de l’art. 18 al. 1 EIMP, si un État étranger le demande expressément et que l’entraide ne semble pas manifestement inadmissible ou inopportune, l’autorité compétente peut ordonner des mesures provisoires – tel que le gel de comptes bancaires – en vue de maintenir une situation existante, de protéger des intérêts juridiques menacés ou de préserver des moyens de preuve. En droit international comme en droit interne, la saisie est une mesure préalable qui entraîne nécessairement une décision subséquente (ATF 120 IV 164 consid. 1c; 117 Ia 424 consid. 20a). S’agissant plus particulièrement du séquestre, la décision par laquelle l’autorité d’exécution ordonne la saisie est une décision incidente au sens de l’art. 80e al. 2 EIMP. Cela s’applique également, en principe, au prononcé par lequel l’autorité d’exécution confirme le séquestre ou rejette une requête tendant à sa levée (TPF 2007 124 consid. 2.2).</w:t>
      </w:r>
    </w:p>
    <w:p>
      <w:r>
        <w:rPr>
          <w:b/>
        </w:rPr>
        <w:t>E. 3.2.1</w:t>
      </w:r>
    </w:p>
    <w:p>
      <w:r>
        <w:t>Le séquestre comme mesure aboutissant à une restriction du droit de</w:t>
      </w:r>
    </w:p>
    <w:p>
      <w:r>
        <w:t>- 9 -</w:t>
      </w:r>
    </w:p>
    <w:p>
      <w:r>
        <w:t>propriété n’est compatible avec la Constitution fédérale que s’il se justifie par un intérêt public suffisant et respecte le principe de proportionnalité (art. 26 al. 1 Cst. en relation avec l’art. 36 al. 1 à 3 Cst.; v. ATF 126 I 219 consid. 2a).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références citées). Un séquestre peut ainsi apparaître disproportionné lorsqu’il s’éternise sans motif suffisant ou lorsque l’autorité chargée de l’instruction pénale ne mène pas celle-ci avec une célérité suffisante (arrêts du Tribunal fédéral 1C_348/2024 du 26 août 2024 consid. 3.2 et références citées; 1C_152/2018 du 18 juin 2018 consid. 6.1; arrêts du Tribunal pénal fédéral RR.2020.76-78 du 27 juillet 2020 consid. 2.2.1; RR.2017.131-144 du 27 mars 2018 consid. 7.2.1). L’écoulement du temps crée par ailleurs le risque d’une atteinte excessive à la garantie de la propriété ou à l’obligation de célérité (art. 26 al. 1 et 29 al. 1 Cst.; ATF 126 II 462 consid. 5e; TPF 2007 124 consid. 8.1), ce qui peut aboutir, après l’écoulement d’un certain temps, à la levée de la mesure de contrainte ou au refus de l’entraide (arrêt du Tribunal pénal fédéral RR.2014.179-181 du 25 novembre 2014 consid. 3; TPF 2007 124 consid. 8.1).</w:t>
      </w:r>
    </w:p>
    <w:p>
      <w:r>
        <w:rPr>
          <w:b/>
        </w:rPr>
        <w:t>E. 3.2.2</w:t>
      </w:r>
    </w:p>
    <w:p>
      <w:r>
        <w:t>Il en découle que le séquestre doit être proportionné tant dans son étendue que dans sa durée (ZIMMERMANN, La coopération judiciaire internationale en matière pénale, 6e éd. 2024, n° 895). En matière d’entraide judiciaire, l’intérêt privé des titulaires de biens séquestrés doit être mis en balance non seulement avec l’intérêt de l’État requérant à recueillir les preuves nécessaires à sa procédure pénale ou à obtenir la remise de valeurs en vue de confiscation ou de restitution, mais aussi avec le devoir de la Suisse de s’acquitter de ses obligations internationales (arrêt du Tribunal fédéral 1C_30/2022 du 9 février 2022 consid. 1.3). S’agissant d’une procédure administrative ouverte à la requête d’un État étranger, la pratique se montre ainsi plus tolérante qu’en matière de procédure pénale. La règle est que les objets et valeurs dont la remise est subordonnée à une décision définitive et exécutoire dans l’État requérant au sens de l’art. 74a al. 1 et 3 EIMP demeurent saisis jusqu’à réception de la décision étrangère ou jusqu’à ce que l’État requérant fasse savoir à l’autorité d’exécution qu’une telle décision ne peut plus être rendue selon son propre droit, notamment à raison de la prescription (art. 33a OEIMP; ATF 149 IV 144 consid. 2.6; arrêts du Tribunal fédéral 1C_348/2024 précité consid. 3.2; 1C_152/2018 précité consid. 6.1; 2A.511/2005 du 16 février 2009 consid. 5.3.3 et les références citées; TPF 2007 124 consid. 8.1; arrêts du Tribunal pénal fédéral RR.2020.76-78 précité consid. 2.2.2; RR.2017.131-144 précité consid. 7.2.2). En règle générale,</w:t>
      </w:r>
    </w:p>
    <w:p>
      <w:r>
        <w:t>- 10 -</w:t>
      </w:r>
    </w:p>
    <w:p>
      <w:r>
        <w:t>l’existence d’une procédure pénale au sens de l’art. 63 al. 3 EIMP suffit pour que l’assistance soit accordée. Cela signifie que l’entraide peut être accordée à un stade très précoce de la procédure. En revanche la remise des avoirs en vue de leur confiscation ou de leur restitution n’est, comme déjà mentionné, généralement possible qu’après la conclusion de la procédure pénale ou de confiscation étrangère, lorsqu’un jugement définitif a été rendu (ATF 126 II 462 consid. 5c et référence citée; arrêt du Tribunal pénal fédéral RR.2020.304 du 26 février 2021 consid. 1.4.2 et références citées).</w:t>
      </w:r>
    </w:p>
    <w:p>
      <w:r>
        <w:rPr>
          <w:b/>
        </w:rPr>
        <w:t>E. 3.3.1</w:t>
      </w:r>
    </w:p>
    <w:p>
      <w:r>
        <w:t>Le prononcé d’une saisie ne crée pas ipso facto un dommage immédiat et irréparable ouvrant la voie d’un recours. Pour que la condition de l’art. 80e al. 2 let. a EIMP soit remplie, il faut que la personne touchée rende vraisemblable que la mesure qu’elle critique lui cause un tel dommage et en quoi celui-ci pourrait être évité par l’annulation du prononcé attaqué (ATF 130 II 329 consid. 2; 128 II 211 consid. 2.1). L’existence d’un préjudice immédiat et irréparable ne peut être admise que dans l’un ou l’autre cas visé par l’art. 80e al. 2 EIMP, dont l’énumération est en principe exhaustive (ATF 127 II 198 consid. 2b et référence citée; TPF 2011 205 consid. 1.4). Quant à la notion de préjudice immédiat et irréparable au sens de la disposition précitée, elle doit être interprétée de manière restrictive (arrêt du Tribunal fédéral 1C_489/2021 du 27 septembre 2022 consid. 2.2 et références citées; arrêt du Tribunal pénal fédéral RR.2022.164 du 19 janvier 2023 consid. 2.4.6.1 et référence citée).</w:t>
      </w:r>
    </w:p>
    <w:p>
      <w:r>
        <w:rPr>
          <w:b/>
        </w:rPr>
        <w:t>E. 3.3.2</w:t>
      </w:r>
    </w:p>
    <w:p>
      <w:r>
        <w:t>Il incombe au recourant, en particulier, d’indiquer dans l’acte de recours en quoi consiste le préjudice prétendument subi et pourquoi ce préjudice ne serait pas totalement prévenu par un arrêt annulant, le cas échéant, la décision de clôture qui interviendra ultérieurement (ATF 130 II 329 consid. 2; 128 II 353 consid. 3 et références citées); un tel préjudice doit être immédiat c’est-à-dire imparable (arrêts du Tribunal pénal fédéral RR.2023.145+146 du 2 novembre 2023 consid. 3.1.2; RR.2022.164 précité consid. 2.4.6.1) et consiste par exemple dans l’impossibilité de satisfaire à des obligations échues (paiement de salaires, intérêts, impôts, prétentions exigibles, etc.), dans le fait d’être exposé à des actes de poursuite ou de faillite ou à la révocation d’une autorisation administrative, ou dans l’impossibilité de conclure des affaires sur le point d’aboutir (ATF 128 II 353 consid. 3). L’éventuel préjudice ne doit pas simplement être allégué par le recourant, mais rendu vraisemblable sur la base d’éléments spécifiques et concrets; la seule nécessité de faire face à des dépenses administratives courantes ne suffit pas, en règle générale, à rendre vraisemblable un préjudice immédiat et irréparable (ATF 130 II 329 consid. 2; arrêts du Tribunal fédéral</w:t>
      </w:r>
    </w:p>
    <w:p>
      <w:r>
        <w:t>- 11 -</w:t>
      </w:r>
    </w:p>
    <w:p>
      <w:r>
        <w:t>1A.206/2001 du 9 janvier 2002 consid. 2.2; 1A.39/2002 du 2 avril 2002 consid. 3; arrêts du Tribunal pénal fédéral RR.2015.319 du 7 janvier 2016; RR.2007.126 du 26 septembre 2007 consid. 2.3); de même, le recourant doit rendre vraisemblable qu’il ne dispose pas d’autres ressources financières en suffisance pour faire face à ses obligations (arrêt du Tribunal fédéral 1A.130/2006 du 28 juillet 2006 consid. 1.3; arrêts du Tribunal pénal fédéral RR.2021.219-221+230-232 du 3 novembre 2021; RR.2009.155 du 7 mai 2009 consid. 2.5.1). Le préjudice au sens de l’art. 80e let. b EIMP ne doit pas nécessairement être réalisé pour être immédiat; si de simples conjectures ou hypothèses ne démontrent pas ce caractère, une perspective sérieuse et rapprochée peut suffire (arrêt du Tribunal fédéral 1A.86/2004 du 8 juin 2004 consid. 2; arrêt du Tribunal pénal fédéral RR.2021.128 du 1er juillet 2021).</w:t>
      </w:r>
    </w:p>
    <w:p>
      <w:r>
        <w:rPr>
          <w:b/>
        </w:rPr>
        <w:t>E. 3.3.3</w:t>
      </w:r>
    </w:p>
    <w:p>
      <w:r>
        <w:t>La question du minimum vital ne se pose pas lorsqu’il s’agit de la saisie du produit de l’infraction (direct ou de remplacement; ATF 141 IV 360 consid. 3.1 in fine). L’intégralité des valeurs doit demeurer à disposition de la justice aussi longtemps qu’il subsiste un doute quant à leur provenance criminelle (arrêt du Tribunal fédéral 7B_19/2025 du 4 avril 2025 consid. 2.2.2 et référence citée; 1B_500/2018 du 11 février 2019 consid. 6.1 et référence citée). En effet, lors de l’examen du séquestre conservatoire, l’autorité statue sous l’angle de la vraisemblance, examinant des prétentions encore incertaines (ATF 143 IV 357 consid. 1.2.3 et références citées). Dès lors, tant que l’instruction n’est pas achevée et que subsiste une probabilité de confiscation, de créance compensatrice ou d’une allocation au lésé, la mesure conservatoire doit être maintenue (ATF 141 IV 360 consid. 3.2; arrêt du Tribunal fédéral 7B_19/2025 précité consid. 2.2.2). Dans l’hypothèse où le séquestre tend à garantir une éventuelle créance compensatrice, celui-ci peut porter sur tous les biens, valeurs et/ou revenus de l’intéressé sans qu’un lien de connexité avec l’infraction ne soit exigé (ATF 141 IV 360 consid. 3.2; 140 IV 57 consid. 4.1.2; v. ég. arrêt du Tribunal fédéral 1C_30/2022 précité consid. 1.3). Tant que l’étendue de la mesure ne paraît pas manifestement violer le principe de la proportionnalité, notamment – à l’instar du séquestre en couverture de frais – 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 (arrêt du Tribunal pénal fédéral RR.2021.226- 228 du 5 janvier 2022 consid. 5.5 et 5.11). Lors du prononcé de la mesure, il sied de tenir compte de l’éventuelle atteinte au minimum vital en se référant aux Lignes directrices pour le calcul du minimum vital en application des art. 92 à 94 de la loi fédérale sur la poursuite pour dettes et la faillite du 11 avril 1889 (RS 281.1; LP), ce, dans la mesure où le séquestre porte sur la totalité des revenus du prévenu et qu’il est assimilable à un séquestre sur</w:t>
      </w:r>
    </w:p>
    <w:p>
      <w:r>
        <w:t>- 12 -</w:t>
      </w:r>
    </w:p>
    <w:p>
      <w:r>
        <w:t>salaire du droit des poursuites (ATF 141 IV 360 consid. 3.4). Hormis cette exception, la situation personnelle, notamment financière, du prévenu sera de la compétence du juge du fond. En cas de saisie conservatoire, notamment lorsqu’il est vraisemblable que les valeurs saisies sont le produit de l’infraction, les principes de la LP susmentionnés ne sont manifestement pas applicables (ATF 141 IV 360 consid. 3.2, arrêt du Tribunal fédéral 1B_118/2012 du 19 juillet 2012 consid. 3.2).</w:t>
      </w:r>
    </w:p>
    <w:p>
      <w:r>
        <w:rPr>
          <w:b/>
        </w:rPr>
        <w:t>E. 3.4</w:t>
      </w:r>
    </w:p>
    <w:p>
      <w:r>
        <w:t>In casu, l’autorité requérante a, dans le cadre des investigations qu’elle mène des chefs de corruption active et passive, blanchiment de corruption, blanchiment de fraude fiscale aggravée, présomption de blanchiment et violation de la loi anti-cadeaux, expressément sollicité le gel ou la saisie des avoirs de la famille de A. et de la société B. Sàrl afin de garantir la disposition de ces avoirs en cas de prononcé d’une peine de confiscation (act. 8.A, onglet « PIECES », « P. 15 »). D’après les informations transmises aux autorités helvétiques, en dernier lieu le 26 mars 2025, l’enquête porte sur le versement, à la société susmentionnée, de commissions pour un montant s’élevant à près d’EUR 2 millions (v. supra let. A; act. 12.1). Quant au « produit exact de la corruption », il est en cours d’établissement, les divers documents saisis sur territoire français lors de multiples opérations de perquisition étant en cours d’analyse (act. 12.1). Il découle que les recourants ne sauraient être suivis lorsqu’ils affirment qu’aucun soupçon en lien avec la commission d’une infraction ne pèse sur eux. Contrairement à leurs dires, les informations fournies par l’autorité requérante en lien avec le versement – présumé corruptif – d’environ EUR 2 millions à titre de commissions s’avèrent suffisantes pour établir un lien de connexité entre la société susdite, dont A. est l’associé gérant, et le complexe de faits sous enquête. C’est dès lors à bon droit que le MP-VD a ordonné le séquestre des valeurs patrimoniales des relations bancaires nos 1 et 2 ouvertes, respectivement, auprès de banques I. SA et H. AG et dont les titulaires sont, pour la première, A. (montant des avoirs au 28 janvier 2025 de CHF 10'762.35 [act. 8.A, onglet « PIECES », « P. 54 », p. 246]) et, pour la seconde, B. Sàrl (montant des avoirs au 11 février 2023 de CHF 858.91 et EUR 11'933.10 [act. 8.A, onglet « PIECES », « P. 45 », p. 61 s.]).</w:t>
      </w:r>
    </w:p>
    <w:p>
      <w:r>
        <w:t>Il convient également de retenir, d’une part, que le montant des valeurs saisies est nettement inférieur à celui des commissions qui auraient été perçues par B. Sàrl et, d’autre part, qu’il n’est pas possible de conclure, à ce stade des investigations, que les valeurs en question ne sont pas liées aux infractions sous enquête et qu’elles ne pourront pas, à l’issue de la procédure étrangère, être confisquées (art. 74a EIMP) voire, le cas échéant, faire l’objet d’une créance compensatrice (art. 94 ss EIMP; v. ATF 149 IV 376 consid. 6); état de fait qui justifie à lui seul le maintien des mesures entreprises (v. supra</w:t>
      </w:r>
    </w:p>
    <w:p>
      <w:r>
        <w:t>- 13 -</w:t>
      </w:r>
    </w:p>
    <w:p>
      <w:r>
        <w:t>consid. 3.2.2). S’agissant du montant exact du butin, il appartiendra à l’autorité de l’État requérant de le déterminer tout au long de l’enquête en cours ainsi qu’elle s’est d’ailleurs déjà attelée à le faire puisqu’elle explicite avoir entamé « un long travail de reconstitution des flux financiers et de leur causalité » (act. 12.1). Quoi qu’il en soit, compte tenu des sommes mises en avant par les autorités requérantes, le montant des valeurs séquestrées en Suisse ne peut être considéré comme disproportionné puisque nettement inférieur aux premières estimations de l’autorité requérante. Quant à la durée de la mesure querellée, elle ne s’avère pas, à ce jour, excessive et donc disproportionnée. En effet, il suffit d’observer qu’elle n’a été ordonnée que le</w:t>
      </w:r>
    </w:p>
    <w:p>
      <w:r>
        <w:rPr>
          <w:b/>
        </w:rPr>
        <w:t>E. 6</w:t>
      </w:r>
    </w:p>
    <w:p>
      <w:r>
        <w:t>En règle générale, les frais de procédure comprenant l’émolument d’arrêté, les émoluments de chancellerie et les débours sont mis à la charge des parties qui succombent (art. 63 al. 1 PA, applicable par renvoi à l’art. 39 al. 2</w:t>
      </w:r>
    </w:p>
    <w:p>
      <w:r>
        <w:t>- 14 -</w:t>
      </w:r>
    </w:p>
    <w:p>
      <w:r>
        <w:t>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du 31 août 2010 [RFPPF; RS 173.713.162]; v. art. 63 al. 4bis PA). In casu, en tant que parties qui succombent, les recourants supportent solidairement les frais du présent arrêt, lesquels sont fixés à CHF 2’000.--, intégralement couverts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