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RR.2025.214 vom 19. Februar 2026</w:t>
      </w:r>
    </w:p>
    <w:p>
      <w:r>
        <w:t>Bundesstrafgericht, 2026-02-19, IT</w:t>
      </w:r>
    </w:p>
    <w:p>
      <w:r>
        <w:rPr>
          <w:b/>
        </w:rPr>
        <w:t xml:space="preserve">Quelle: </w:t>
      </w:r>
      <w:r>
        <w:t>https://mcp.opencaselaw.ch/entscheid/bstger_RR.2025.214</w:t>
      </w:r>
    </w:p>
    <w:p>
      <w:r>
        <w:t>FR: TPF RR.2025.214 du 19 février 2026</w:t>
      </w:r>
    </w:p>
    <w:p>
      <w:r>
        <w:t>IT: TPF RR.2025.214 del 19 febbraio 2026</w:t>
      </w:r>
    </w:p>
    <w:p>
      <w:pPr>
        <w:pStyle w:val="Heading2"/>
      </w:pPr>
      <w:r>
        <w:t>Regeste</w:t>
      </w:r>
    </w:p>
    <w:p>
      <w:r>
        <w:t>Assistenza giudiziaria internazionale in materia penale all'Italia; decisione di estradizione (art. 55 AIMP)</w:t>
      </w:r>
    </w:p>
    <w:p>
      <w:pPr>
        <w:pStyle w:val="Heading2"/>
      </w:pPr>
      <w:r>
        <w:t>Erwägungen</w:t>
      </w:r>
    </w:p>
    <w:p>
      <w:r>
        <w:rPr>
          <w:b/>
        </w:rPr>
        <w:t>E. 1.1</w:t>
      </w:r>
    </w:p>
    <w:p>
      <w:r>
        <w:t>In virtù degli art. 55 cpv. 3 e 25 cpv. 1 della legge federale sull'assistenza giudi- ziaria internazionale in materia penale (AIMP; RS 351.1) e dell'art. 37 cpv. 2 lett. a n. 1 LOAP, la Corte dei reclami penali è competente per statuire sui ricorsi contro le decisioni d'estradizione. Interposto entro 30 giorni dalla notificazione scritta della decisione d'estradizione (v. art. 50 cpv. 1 PA), il ricorso è tempe- stivo. In qualità di estradando il ricorrente è manifestamente legittimato a ricor- rere (v. art. 21 cpv. 3 AIMP; DTF 122 II 373 consid. 1b e rinvii).</w:t>
      </w:r>
    </w:p>
    <w:p>
      <w:r>
        <w:rPr>
          <w:b/>
        </w:rPr>
        <w:t>E. 1.2</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[in seguito: raccolta testi) unitamente al rego- lamento (UE) 2018/1862 del Parlamento europeo e del Consiglio del</w:t>
      </w:r>
    </w:p>
    <w:p>
      <w:r>
        <w:t>- 4 -</w:t>
      </w:r>
    </w:p>
    <w:p>
      <w:r>
        <w:t>28 novembre 2018 sull'istituzione, l'esercizio e l'uso del sistema d'informazione Schengen (SIS) nel settore della cooperazione di polizia e della cooperazione giudiziaria in materia penale (n. CELEX 32018R1862; Gazzetta ufficiale dell’Unione europea L 312 del 7 dicembre 2018, pag. 56-106; raccolta testi, 8.4 Sviluppi dell'acquis di Schengen), così come, a partire dal 5 novembre 2019, le disposizioni della Convenzione del 27 settembre 1996 relativa all’estradizione tra gli Stati membri dell’Unione europea (Convenzione sull’estradizione UE; n° CELEX 41996A1023(02); Gazzetta ufficiale dell’Unione europea C 313 del 23 ottobre 1996, pag. 12-23, raccolta testi, 8.2 Allegato B) che in applicazione della Decisione 2003/169/GAI del Consiglio, del 27 febbraio 2003 (n° CELEX 32003D0169; Gazzetta ufficiale dell’Unione europea L 67 del 12 marzo 2003, pag. 25 e seg., raccolta testi, 8.2 Allegato B) costituiscono uno sviluppo dell’ac- quis di Schengen (ovvero gli art. 2, 6, 8, 9 e 13 nonché l’art. 1, per quanto per- tinente agli altri articoli). Restano impregiudicate disposizioni più favorevoli all’assistenza in vigore tra le parti (art. 59 n. 2 CAS; art. 1 n. 2 Convenzione sull’estradizione UE).</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sopra.</w:t>
      </w:r>
    </w:p>
    <w:p>
      <w:r>
        <w:rPr>
          <w:b/>
        </w:rPr>
        <w:t>E. 2</w:t>
      </w:r>
    </w:p>
    <w:p>
      <w:r>
        <w:t>PA, la presente sentenza viene emessa nella lingua della decisione</w:t>
      </w:r>
    </w:p>
    <w:p>
      <w:r>
        <w:t>- 5 -</w:t>
      </w:r>
    </w:p>
    <w:p>
      <w:r>
        <w:t>impugnata, ossia l’italiano. Non vi sono di fatto particolari ragioni per scostarsi da questa regola esplicitamente prevista dalla legge di procedura qui applica- bile. Tanto più che la domanda di assistenza del 15 aprile 2024 è stata presen- tata in lingua italiana (v. act. 5.1), lingua madre del ricorrente (v. act. 5.3, pag. 1). Come si evince dal contenuto stesso del ricorso, non vi è altresì nessun motivo per ritenere che il patrocinatore del ricorrente non sia stato in grado di comprendere la decisione impugnata sia in fatto che in diritto e in ogni caso, secondo la costante giurisprudenza, da un avvocato attivo nel nostro Paese è lecito pretendere che abbia perlomeno competenze recettive relative alle lingue ufficiali svizzere (v. sentenze del Tribunale federale 1A.71/2005 dell’11 maggio 2005 consid. 4.1; 1A.87/2004 del 3 giugno 2004 consid. 1; 1A.235/2003 dell'8 gennaio 2004 consid. 1; TPF 2023 156 consid. 2.7.2 con rinvii), a maggior ragione nel caso concreto ribadito trattarsi di una richiesta proveniente dall’Ita- lia. Che atti della procedura estradizionale sin qui condotta dall’UFG si siano svolti in lingua tedesca nulla muta a quanto precede. La relativa censura va quindi respinta.</w:t>
      </w:r>
    </w:p>
    <w:p>
      <w:r>
        <w:rPr>
          <w:b/>
        </w:rPr>
        <w:t>E. 3</w:t>
      </w:r>
    </w:p>
    <w:p>
      <w:r>
        <w:t>Il ricorrente sostiene che l’esposto dei fatti contenuto nella domanda di estradi- zione sarebbe insufficiente e i documenti allegati a quest’ultima non permette- rebbero di verificare l’eventuale prescrizione dell’esecuzione della pena, in vio- lazione dell’art. 12 n. 2 CEEstr.</w:t>
      </w:r>
    </w:p>
    <w:p>
      <w:r>
        <w:rPr>
          <w:b/>
        </w:rPr>
        <w:t>E. 3.1</w:t>
      </w:r>
    </w:p>
    <w:p>
      <w:r>
        <w:t>Giusta l’art. 12 n. 2 CEEstr, la domanda d'estradizione deve essere accompa- gnata dall’originale o la copia autentica di una decisione esecutiva di condanna o di un mandato di arresto o di qualsiasi altro atto avente la stessa forza, rila- sciato nelle forme prescritte nella legge dalla Parte richiedente (lett. a), da un esposto dei fatti, per i quali l’estradizione è domandata, in cui il tempo e il luogo del loro compimento, la loro qualificazione legale e il riferimento alle disposizioni legali loro applicabili saranno indicate il più esattamente possibile (lett. b; v. an- che l’art. 28 cpv. 3 lett. a AIMP e art. 10 OAIMP) e da una copia delle disposi- zioni legali applicabili o, se ciò fosse impossibile, da una dichiarazione sul diritto applicabile, come anche il segnalamento il più preciso possibile dell’individuo reclamato e qualsiasi altra informazione atta a determinare la sua identità e la sua cittadinanza (lett. c). Ciò deve permettere all'autorità richiesta di verificare che non sussistano condizioni ostative all'assistenza. Essa deve segnatamente poter controllare che la condizione della doppia punibilità sia rispettata. L'auto- rità richiedente non è in ogni caso tenuta a fornire prove a sostegno delle sue allegazioni. L'autorità richiesta non esamina le questioni di fatto, né si pronuncia sulla colpevolezza dell'estradando, né procede alla valutazione delle prove; essa è legata all'esposto dei fatti presentato nella domanda, nella misura in cui questa non presenti errori manifesti, lacune o contraddizioni immediatamente rilevabili (DTF 132 II 81 consid. 2.1; 118 Ib 111 consid 5b pag. 121 e seg.).</w:t>
      </w:r>
    </w:p>
    <w:p>
      <w:r>
        <w:t>- 6 -</w:t>
      </w:r>
    </w:p>
    <w:p>
      <w:r>
        <w:rPr>
          <w:b/>
        </w:rPr>
        <w:t>E. 3.2</w:t>
      </w:r>
    </w:p>
    <w:p>
      <w:r>
        <w:t>In concreto, l’autorità rogante ha trasmesso all’UFG le sentenze italiane riguar- danti l’estradando, ossia: la sentenza di primo grado del 4 aprile 2018 emessa dal Tribunale di Verbania, quella della Corte d’Appello di Torino del 23 gennaio 2020 nonché un estratto della decisione del 7 luglio 2021 della Corte Suprema di cassazione. Nella misura in cui da tali giudizi risulta con chiarezza la fattispe- cie – compresi quindi tempi e luoghi dei reati – per la quale l’insorgente è stato condannato in maniera definitiva, le condizioni di cui all’art. 12 n. 2 CEEstr sono senz’altro soddisfatte. Per quanto riguarda più particolarmente la questione della prescrizione della pena, si rileva che l’autorità rogante ha trasmesso con la domanda di estradizione il testo dell’art. 172 CP/I, secondo il quale la pena della reclusione si estingue con il decorso di un tempo pari al doppio della pena inflitta e, in ogni caso, non superiore a trenta e non inferiore a dieci anni. Es- sendo la sentenza di condanna a carico del ricorrente cresciuta in giudicato il</w:t>
      </w:r>
    </w:p>
    <w:p>
      <w:r>
        <w:rPr>
          <w:b/>
        </w:rPr>
        <w:t>E. 7</w:t>
      </w:r>
    </w:p>
    <w:p>
      <w:r>
        <w:t>L’insorgente sostiene che la sua estradizione avrebbe conseguenze drastiche per lui e la sua famiglia in Svizzera, in violazione dell’art. 8 CEDU. Essa impe- direbbe, tra l’altro, al suo figliastro di concludere il suo apprendistato nel nostro Paese, poiché il suo sostentamento potrebbe essere finanziato solo con lo sti- pendio congiunto suo e di sua moglie. Farebbe inoltre difetto un interesse ita- liano all’esecuzione della pena, precisato che i reati, di poca entità, sarebbero stati commessi più di dieci anni fa.</w:t>
      </w:r>
    </w:p>
    <w:p>
      <w:r>
        <w:rPr>
          <w:b/>
        </w:rPr>
        <w:t>E. 7.1</w:t>
      </w:r>
    </w:p>
    <w:p>
      <w:r>
        <w:t>Preliminarmente va osservato che qualsiasi pena privativa di libertà compro- mette le relazioni familiari e professionali delle persone coinvolte: si tratta di conseguenze connaturate alla pena stessa e come tali non possono essere in- vocate per opporsi a un'estradizione (DTF 120 Ib 120 consid. 3d). Come sotto- lineato sia dalla giurisprudenza del Tribunale federale che da quella della Corte europea dei diritti dell'uomo in applicazione dell'art. 8 CEDU, l'ingerenza nel diritto alla protezione della famiglia è una conseguenza inevitabile, e quindi ac- cettabile, dell'estradizione (DTF 117 Ib 210 consid. 3b/cc con riferimenti). L'art.</w:t>
      </w:r>
    </w:p>
    <w:p>
      <w:r>
        <w:rPr>
          <w:b/>
        </w:rPr>
        <w:t>E. 7.2</w:t>
      </w:r>
    </w:p>
    <w:p>
      <w:r>
        <w:t>Nulla di tutto ciò nel caso di specie. Dall'incarto emerge che il ricorrente vive in Svizzera dal 2015 con la moglie e i figli di quest’ultima. Egli contribuisce certo al sostentamento della famiglia e alla formazione dei figli della moglie, che se- guono un apprendistato (v. act. 5.3), ma non vi è nessun elemento per conclu- dere che l'estradizione comporterebbe un'ingerenza sproporzionata nella vita privata, familiare o professionale del ricorrente ai sensi della predetta giurispru- denza. Di conseguenza, anche sotto questo profilo le censure del ricorrente vanno respinte.</w:t>
      </w:r>
    </w:p>
    <w:p>
      <w:r>
        <w:rPr>
          <w:b/>
        </w:rPr>
        <w:t>E. 7.3</w:t>
      </w:r>
    </w:p>
    <w:p>
      <w:r>
        <w:t>Secondo l'art. 37 cpv. 1 AIMP l'estradizione può essere negata se la Svizzera può assumere il perseguimento del reato o l'esecuzione della decisione penale straniera e ciò sembra opportuno riguardo al reinserimento sociale della per- sona perseguita. Tuttavia, la Svizzera può assumere il perseguimento di un reato commesso all'estero o l'esecuzione di una sentenza unicamente quando lo Stato in cui il reato è stato commesso domanda espressamente allo Stato richiesto di esercitare al suo posto il potere repressivo (DTF 120 Ib 120 consid. 3c; 117 Ib 210 consid. 3).</w:t>
      </w:r>
    </w:p>
    <w:p>
      <w:r>
        <w:t>In concreto, va rilevato che l'Italia non ha presentato nessuna richiesta alla Sviz- zera di esecuzione della pena inflitta al ricorrente all'estero. Anzi, come giusta- mente evidenziato dall’UFG, “il Ministero della giustizia italiano, con scritto del</w:t>
      </w:r>
    </w:p>
    <w:p>
      <w:r>
        <w:rPr>
          <w:b/>
        </w:rPr>
        <w:t>E. 8</w:t>
      </w:r>
    </w:p>
    <w:p>
      <w:r>
        <w:t>CEDU può essere una valida causa ostativa soltanto nei rari casi in cui le eccezionali circostanze della vita familiare dell'estradando (segnatamente per obblighi di accudimento derivanti da gravi malattie o disabilità, così come da</w:t>
      </w:r>
    </w:p>
    <w:p>
      <w:r>
        <w:t>- 11 -</w:t>
      </w:r>
    </w:p>
    <w:p>
      <w:r>
        <w:t>situazioni genitoriali di particolare difficoltà) sono tali che la separazione provo- cata dall'estradizione costituirebbe un'ingerenza sproporzionata per rapporto allo ius puniendi dello Stato estero (v. sentenza del Tribunale federale 1A.203/2001 del 7 febbraio 2002 consid. 3.2 e sentenza del Tribunale penale federale RR.2009.117 del 17 giugno 2009 consid. 2.7).</w:t>
      </w:r>
    </w:p>
    <w:p>
      <w:r>
        <w:rPr>
          <w:b/>
        </w:rPr>
        <w:t>E. 12</w:t>
      </w:r>
    </w:p>
    <w:p>
      <w:r>
        <w:t>marzo 2025, ha trasmesso il documento con il quale la Procura Generale presso la Corte d’Appello di Torino esprimeva parere contrario all’esecuzione in Svizzera della pena inflitta al perseguito in Italia. La motivazione di tale parere si basa in particolare sul fatto che la misura alternativa dell’affidamento in prova al servizio sociale, decisa dal Tribunale di Sorveglianza di Torino con ordinanza dei 27 settembre 2023, in sostanza non è stata rispettata dal perseguito e per questo motivo il Tribunale di Sorveglianza di Torino, in data 19 dicembre 2023, dichiarava inefficace la già menzionata ordinanza relativa alla misura alterna- tiva” (act. 1.1, pag. 7). In virtù di ciò il Ministero della giustizia italiano ha ribadito la validità della propria domanda di estradizione e in definitiva non si può che constatare come a monte di essa vi sia proprio la mancata ottemperanza da parte del ricorrente degli obblighi posti a garanzia del reinserimento sociale da lui stesso invocato, per tacere del fatto che l'art. 37 cpv. 1 AIMP non è opponibile ad uno Stato che, come l'Italia, è parte alla CEEstr (DTF 129 II 100 consid. 3.1; 122 II 485 consid. 3; sentenza del Tribunale federale 1A.233/2004 dell'8 no- vembre 2004, consid. 3.3; sentenza del Tribunale penale federale RR.2015.309</w:t>
      </w:r>
    </w:p>
    <w:p>
      <w:r>
        <w:t>- 12 -</w:t>
      </w:r>
    </w:p>
    <w:p>
      <w:r>
        <w:t>del 12 gennaio 2016 consid. 3.3). Anche tale censura non merita quindi ulteriore disamina.</w:t>
      </w:r>
    </w:p>
    <w:p>
      <w:r>
        <w:t>8. Facendo riferimento alla richiesta inoltrata dall’UFG alle autorità italiane circa una possibile esecuzione della pena in Svizzera, il ricorrente, invocando l’art. 720 comma 1 CPP/I, sostiene infine che la risposta a tale quesito dovrebbe essere trattata direttamente dal Ministro della giustizia italiano e non delegata da quest’ultimo alla Procura generale di Torino. Il ricorrente si sarebbe quindi aspettato che il Ministero della giustizia italiano esaminasse in modo approfon- dito la richiesta dell'UFG e motivasse autonomamente la propria decisione. A suo avviso, il presente caso non sarebbe quindi maturo per una decisione, per cui l’incarto sarebbe da rinviare all’UFG, il quale dovrebbe essere incaricato di chiedere al Ministero della giustizia italiano di migliorare la domanda di estradi- zione.</w:t>
      </w:r>
    </w:p>
    <w:p>
      <w:r>
        <w:t>A torto. La richiesta di cui sopra è stata infatti correttamente trasmessa dall’UFG al Ministero della giustizia italiano. Quest’ultimo ha poi inoltrato la medesima alla Procura generale di Torino, in quanto autorità penale competente, non di- versamente da quanto specularmente avverrebbe nel caso di domande estra- dizionali svizzere (v. art. 30 cpv. 2 AIMP), ma per il resto non spetta certo al giudice dell’assistenza sindacare la corretta applicazione del diritto procedurale estero e tanto meno la ripartizione dei compiti fra le varie autorità estere com- petenti in materia estradizionale. Il ricorrente sembra in definitiva confondere la componente ministeriale risp. diplomatica del diritto estradizionale con quella strettamente penalistica: se i rapporti interstatali vengono tradizionalmente esercitati a livello ministeriale ciò non toglie che alla base vi siano domande provenienti dalla magistratura penale di ogni singolo Stato (v. HEIMGARTNER, Commentario basilese, 2015, n. 11 e 13 ad art. 30 AIMP), per cui è ovvio che anche in questi casi il Ministero della giustizia consulti la procura competente prima di rispondere al proprio interlocutore in Svizzera, ovvero l’UFG. Non vi è dunque nessuna ragione di dare seguito alla richiesta del ricorrente e anche quest’ultima censura va respinta.</w:t>
      </w:r>
    </w:p>
    <w:p>
      <w:r>
        <w:t>9. Da quanto sopra discende che il ricorso va integralmente respinto.</w:t>
      </w:r>
    </w:p>
    <w:p>
      <w:r>
        <w:t>10. 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3'000.– a carico del ricorrente. Essa è coperta dall’anticipo delle spese di fr. 3'000.–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