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RR.2025.210 vom 4. März 2026</w:t>
      </w:r>
    </w:p>
    <w:p>
      <w:r>
        <w:t>Bundesstrafgericht, 2026-03-04, DE</w:t>
      </w:r>
    </w:p>
    <w:p>
      <w:r>
        <w:rPr>
          <w:b/>
        </w:rPr>
        <w:t xml:space="preserve">Quelle: </w:t>
      </w:r>
      <w:r>
        <w:t>https://mcp.opencaselaw.ch/entscheid/bstger_RR.2025.210</w:t>
      </w:r>
    </w:p>
    <w:p>
      <w:r>
        <w:t>FR: TPF RR.2025.210 du 4 mars 2026</w:t>
      </w:r>
    </w:p>
    <w:p>
      <w:r>
        <w:t>IT: TPF RR.2025.210 del 4 marzo 2026</w:t>
      </w:r>
    </w:p>
    <w:p>
      <w:pPr>
        <w:pStyle w:val="Heading2"/>
      </w:pPr>
      <w:r>
        <w:t>Regeste</w:t>
      </w:r>
    </w:p>
    <w:p>
      <w:r>
        <w:t>Internationale Rechtshilfe in Strafsachen an Kasachstan;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die Zustellung dieses Entscheids an den Beschwerdeführer ad acta erfolgt, nachdem er auch gegenüber der Beschwerdekammer kein Zustellungsdo- mizil in der Schweiz bezeichnet hat (vgl. hierzu Art. 80m Abs. 1 lit. b IRSG und Art. 9 IRSV);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