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RR.2025.203 vom 6. März 2026</w:t>
      </w:r>
    </w:p>
    <w:p>
      <w:r>
        <w:t>Bundesstrafgericht, 2026-03-06, IT</w:t>
      </w:r>
    </w:p>
    <w:p>
      <w:r>
        <w:rPr>
          <w:b/>
        </w:rPr>
        <w:t xml:space="preserve">Quelle: </w:t>
      </w:r>
      <w:r>
        <w:t>https://mcp.opencaselaw.ch/entscheid/bstger_RR.2025.203</w:t>
      </w:r>
    </w:p>
    <w:p>
      <w:r>
        <w:t>FR: TPF RR.2025.203 du 6 mars 2026</w:t>
      </w:r>
    </w:p>
    <w:p>
      <w:r>
        <w:t>IT: TPF RR.2025.203 del 6 marzo 2026</w:t>
      </w:r>
    </w:p>
    <w:p>
      <w:pPr>
        <w:pStyle w:val="Heading2"/>
      </w:pPr>
      <w:r>
        <w:t>Regeste</w:t>
      </w:r>
    </w:p>
    <w:p>
      <w:r>
        <w:t>Assistenza giudiziaria internazionale in materia penale all'Italia; consegna a scopo di confisca (art. 74a EIMP)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sull'assistenza in materia penale, unita- mente alla relativa ordinanza (OAIMP; RS 351.11; v. art. 1 cpv. 1 AIMP, art. I n.</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w:t>
      </w:r>
    </w:p>
    <w:p>
      <w:r>
        <w:t>- 5 -</w:t>
      </w:r>
    </w:p>
    <w:p>
      <w:r>
        <w:t>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ricorso è ricevibile sotto il profilo degli art. 25 cpv. 1, 80e cpv. 1 e 80k AIMP.</w:t>
      </w:r>
    </w:p>
    <w:p>
      <w:r>
        <w:rPr>
          <w:b/>
        </w:rPr>
        <w:t>E. 1.6.1</w:t>
      </w:r>
    </w:p>
    <w:p>
      <w:r>
        <w:t>La ricevibilità del gravame presuppone tuttavia anche la legittimazione a ricor- rere della ricorrente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 con rinvii, e 118 Ib 547 consid. 1d), così come nelle perquisizioni domiciliari questa qualità spetta al proprietario o al locatario (v. art. 9a lett. b OAIMP; DTF 137 IV 134 consid. 6.2, con rinvii). In via giurisprudenziale è stato altresì precisato che la legittimazione a ricorrere compete alla persona direttamente sottoposta a una misura coercitiva (perquisizione, sequestro o interrogatorio;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 menti (DTF 137 IV 134 consid. 5.2.1 e 122 II 130 consid. 2b e rinvii).</w:t>
      </w:r>
    </w:p>
    <w:p>
      <w:r>
        <w:rPr>
          <w:b/>
        </w:rPr>
        <w:t>E. 1.6.2</w:t>
      </w:r>
    </w:p>
    <w:p>
      <w:r>
        <w:t>In concreto, nella misura in cui le relazioni bancarie oggetto della decisione im- pugnata erano intestate a C., deceduto il 6 ottobre 2023 e che gli eredi hanno rinunciato all’eredità (v. scritto del 25 gennaio 2024 dell’avv. A., in rubrica 14 incarto MPC), la legittimazione ricorsuale di B. non è data (v. ZIMMERMANN, La coopération judiciaire internationale en matière pénale, 6a ediz. 2024, n. 638 e contrario). Essa va per contro riconosciuta ad A., nella misura in cui il MPC ha</w:t>
      </w:r>
    </w:p>
    <w:p>
      <w:r>
        <w:t>- 6 -</w:t>
      </w:r>
    </w:p>
    <w:p>
      <w:r>
        <w:t>respinto le pretese pecuniarie relative ai suoi onorari derivanti dalle prestazioni fornite a C. prima e a B. poi.</w:t>
      </w:r>
    </w:p>
    <w:p>
      <w:r>
        <w:rPr>
          <w:b/>
        </w:rPr>
        <w:t>E. 2</w:t>
      </w:r>
    </w:p>
    <w:p>
      <w:r>
        <w:t>Nel suo gravame, A. afferma di aver “fatto valere le proprie pretese per spese di difesa e patrocinio con le osservazioni del 2 agosto 2022, chiedendo il disse- questro dell'importo dovuto. Il Ministero pubblico della Confederazione ha quindi negato la pretesa di CHF 55'229,85 (nella sentenza erroneamente CHF 37'495.-, senza considerare CHF 20'000.- di acconto per le attività suc- cessive a maggio 2020, poi concretizzatesi nella fattura da maggio 2020 al de- cesso per un importo di CHF 17'800.- […])” (act. 1, pag. 14). Invocando la sua buona fede giusta l’art. 74a cpv. 4 lett. c AIMP, la ricorrente contesta il rifiuto del MPC di dissequestrare i conti litigiosi per il pagamento delle sue note d’onorario.</w:t>
      </w:r>
    </w:p>
    <w:p>
      <w:r>
        <w:t>Orbene, nella misura in cui non esiste nessuna base legale che permetta di utilizzare valori patrimoniali di sospetta origine criminale oggetto di sequestro rogatoriale per il pagamento di onorari (v. sentenza del Tribunale federale 1A.335/2005 del 22 marzo 2007 consid. 4.3; decisione incidentale del Tribunale penale federale RR.2009.141 del 7 maggio 2009, pag. 5), la censura della ri- corrente va disattesa già solo per questo motivo. Essendo stata la ricorrente patrocinatrice di C. e conoscendo ovviamente le accuse mosse a quest’ultimo dalle autorità penali italiane, le quali ritengono i valori patrimoniali litigiosi di ori- gine criminale, un’applicazione dell’art. 74a cpv. 4 lett. c AIMP non sarebbe co- munque potuta entrare in linea di conto.</w:t>
      </w:r>
    </w:p>
    <w:p>
      <w:r>
        <w:rPr>
          <w:b/>
        </w:rPr>
        <w:t>E. 3</w:t>
      </w:r>
    </w:p>
    <w:p>
      <w:r>
        <w:t>Visto quanto precede, il ricorso è respinto nella misura della sua ammissibilità.</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4'000.–, a carico delle ricorrenti in solido; essa è co- perta dall'anticipo delle spese di fr. 7'000.– già versato. La Cassa del Tribunale restituirà alle ricorrenti il saldo di fr. 3'000.–.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