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RR.2025.181 vom 16. Februar 2026</w:t>
      </w:r>
    </w:p>
    <w:p>
      <w:r>
        <w:t>Bundesstrafgericht, 2026-02-16, IT</w:t>
      </w:r>
    </w:p>
    <w:p>
      <w:r>
        <w:rPr>
          <w:b/>
        </w:rPr>
        <w:t xml:space="preserve">Quelle: </w:t>
      </w:r>
      <w:r>
        <w:t>https://mcp.opencaselaw.ch/entscheid/bstger_RR.2025.181</w:t>
      </w:r>
    </w:p>
    <w:p>
      <w:r>
        <w:t>FR: TPF RR.2025.181 du 16 février 2026</w:t>
      </w:r>
    </w:p>
    <w:p>
      <w:r>
        <w:t>IT: TPF RR.2025.181 del 16 febbraio 2026</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w:t>
      </w:r>
    </w:p>
    <w:p>
      <w:r>
        <w:t>- 4 -</w:t>
      </w:r>
    </w:p>
    <w:p>
      <w:r>
        <w:t>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 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(art. 80e cpv. 1 e 80k AIMP).</w:t>
      </w:r>
    </w:p>
    <w:p>
      <w:r>
        <w:rPr>
          <w:b/>
        </w:rPr>
        <w:t>E. 1.5</w:t>
      </w:r>
    </w:p>
    <w:p>
      <w:r>
        <w:t>Interposto tempestivamente contro la sopraccitata decisione di chiusura, il ricorso è ricevibile sotto il profilo degli art. 25 cpv. 1, 80e cpv. 1 e 80k AIMP. Intestatario della relazione bancaria oggetto della decisione impugnata, il ricor- rente è legittimato a ricorrere (v. art. 80h lett. b AIMP e art. 9a OAIMP; DTF 118 Ib 547 consid. 1d; TPF 2007 79 consid. 1.6 pag. 82).</w:t>
      </w:r>
    </w:p>
    <w:p>
      <w:r>
        <w:rPr>
          <w:b/>
        </w:rPr>
        <w:t>E. 2</w:t>
      </w:r>
    </w:p>
    <w:p>
      <w:r>
        <w:t>Il ricorrente sostiene innanzitutto che la domanda di assistenza giudiziaria deve essere dichiarata inammissibile giacché manifestamente lacunosa e finanche contraddittoria. A suo avviso, vi sarebbe confusione e una manifesta contraddi- zione rispetto agli anni in relazione ai quali l’autorità rogante pretende ch’egli avrebbe posto in atto degli illeciti, ciò che non permetterebbe, tra l’altro, di veri- ficare l’adempimento della condizione della doppia punibilità, precisato che l’as- sistenza non potrebbe essere concessa per reati tributari.</w:t>
      </w:r>
    </w:p>
    <w:p>
      <w:r>
        <w:t>- 5 -</w:t>
      </w:r>
    </w:p>
    <w:p>
      <w:r>
        <w:rPr>
          <w:b/>
        </w:rPr>
        <w:t>E. 2.1.1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2.1.2</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- 6 -</w:t>
      </w:r>
    </w:p>
    <w:p>
      <w:r>
        <w:t>L'art. 2 lett. a CEAG permette di rifiutare l'assistenza giudiziaria quando la do- 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 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 niali (DTF 125 II 250 consid. 3a). La nozione d'inganno astuto corrisponde so- stanzialmente a quella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 minate circostanze anche false informazioni la cui verifica non è possibile, è difficile o non è ragionevolmente esigibile possono costituire un inganno astuto, come pure se il truffatore dissuade la vittima dall'effettuare una verifica o pre- vede, date le circostanze, che essa rinuncerà a farlo in virtù, segnatamente, di un particolare rapporto di fiducia (DTF 139 II 404 consid. 9.4; 137 IV 25 con- sid. 4.4.3.2 con rinvii; 135 IV 76 consid. 5.2; v. anche TPF 2008 128 con- 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6a ediz. 2024, n. 795 nota 6499 pag. 685). Ciò non vale tuttavia in ambito di fiscalità indiretta, dove la Svizzera si è impegnata a fornire reciprocamente assistenza giusta l’art. 50 cpv. 1 CAS per quanto concerne le accise, l’imposta sul valore aggiunto e le</w:t>
      </w:r>
    </w:p>
    <w:p>
      <w:r>
        <w:t>- 7 -</w:t>
      </w:r>
    </w:p>
    <w:p>
      <w:r>
        <w:t>imposte doganali. Per tali imposte indirette l’art. 50 cpv. 1 CAS non fa infatti distinzioni di sorta fra sottrazione d'imposta e truffa fiscale. A tale riguardo, la 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2.2.1</w:t>
      </w:r>
    </w:p>
    <w:p>
      <w:r>
        <w:t>Nella fattispecie, richiamato quanto già espresso in precedenza (v. supra Fatti lett. A), il MP-TI, riprendendo correttamente il contenuto della rogatoria, ha af- fermato nella sua decisione che “A. è accusato del reato di indebita compensa- zione, perché, nella sua qualità di titolare dell’omonima ditta individuale (avente sede effettiva in Bergamo, via Z.), non versava le somme dovute all’Erario ita- liano, utilizzando in compensazione (ex art. 17 D.Lgs. italiano n. 241/1997) cre- diti inesistenti per un importo annuo, neI 2020, pari a EUR 67’589,34. A. è inoltre accusato del reato di emissione di fatture o altri documenti per operazioni ine- sistenti, perché, nella sua qualità di titolare dell’omonima ditta individuale, emet- teva fatture per operazioni oggettivamente inesistenti, alfine di consentire alla società italiana C. S.r.l. (riconducibile al medesimo imputato quale amministra- tore di fatto) di evadere l’IVA, negli anni 2019 e 2020. La Procura di Bergamo contesta inoltre all’indagato il reato di dichiarazione fraudolenta mediante uso di fatture o altri documenti per operazioni inesistenti, perché, nella sua qualità di titolare dell’omonima ditta individuale, indicava nelle dichiarazioni IVA relative agli anni 2019 e 2020, elementi passivi fittizi, avvalendosi di fatture per opera- zioni oggettivamente inesistenti emesse dalla società italiana a lui riconducibile C. S.r.l.” (act. 1.1, pag. 1 e seg.). Ulteriori dettagli riguardanti le accuse mosse nei confronti del ricorrente sono contenuti nella rogatoria nonché nel decreto di sequestro preventivo del 19 novembre 2024 emanato dal Giudice per le indagini preliminari del Tribunale di Bergamo (allegato all’atto 1 incarto MP-TI).</w:t>
      </w:r>
    </w:p>
    <w:p>
      <w:r>
        <w:t>Quanto precede soddisfa le esigenze normative e giurisprudenziali poste in ma- teria di esposto dei fatti. Sufficientemente chiaro risulta essere in ogni caso il motivo che ha indotto l’autorità rogante a chiedere il sequestro del conto liti- gioso, destinatario quest’ultimo di svariate somme di denaro che potrebbero essere legate ai fatti oggetto d’indagine. Per il resto, non spetta al giudice dell'assistenza approfondire ulteriormente la fattispecie oggetto d'inchiesta, tan- tomeno ottenere le prove dei contestati reati. Sarà proprio la documentazione bancaria litigiosa (v. infra consid. 3.2) a permettere all'autorità estera di progre- dire nella sua attività investigativa e di acclarare ulteriormente le condotte mosse a carico del ricorrente. Le censure in questo ambito vanno dunque re- spinte.</w:t>
      </w:r>
    </w:p>
    <w:p>
      <w:r>
        <w:t>- 8 -</w:t>
      </w:r>
    </w:p>
    <w:p>
      <w:r>
        <w:rPr>
          <w:b/>
        </w:rPr>
        <w:t>E. 2.2.2</w:t>
      </w:r>
    </w:p>
    <w:p>
      <w:r>
        <w:t>Per quanto riguarda la doppia punibilità, nella misura in cui il procedimento estero verte su reati legati all’utilizzo di fatture false finalizzate alla frode fiscale (v. supra Fatti lett. A, nonché consid. 2.2.1), i fatti contestati all’indagato pos- sono perlomeno essere sussunti ai reati di falsità in documenti (art. 251 CP) e truffa in materia fiscale (art. 14 cpv. 2 DPA), per cui la condizione della doppia punibilità è ossequiata già solo per tale motivo (v. supra consid. 2.1.2). La cen- sura va dunque disattesa.</w:t>
      </w:r>
    </w:p>
    <w:p>
      <w:r>
        <w:rPr>
          <w:b/>
        </w:rPr>
        <w:t>E. 3</w:t>
      </w:r>
    </w:p>
    <w:p>
      <w:r>
        <w:t>L’insorgente afferma che la decisione impugnata tenderebbe, “in maniera ge- neralizzata e con ricerca esplorativa e indiscriminata di prove in urto con il prin- cipio della proporzionalità, a fornire all’Autorità rogante documentazione nem- meno richiesta e che, manifestamente, nulla ha a che vedere con il procedi- mento penale estero” (act. 1, pag. 12).</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w:t>
      </w:r>
    </w:p>
    <w:p>
      <w:r>
        <w:t>- 9 -</w:t>
      </w:r>
    </w:p>
    <w:p>
      <w:r>
        <w:t>12 febbraio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permette altresì di evitare che l’autorità estera sia se del caso costretta a ricorrere all’inoltro di rogatorie complementari (DTF 136 IV 82 consid. 4.1; 121 II 241 consid. 3; sentenza del Tribunale fede- rale 1C_486/2008 dell'11 novembre 2008 consid. 2.4; sentenza del Tribunale penale federale RR.2011.113 del 28 luglio 2011 consid. 4.2), con evidente in- 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 presi quelli di cui l'autorità estera non sospetta neppure l'esistenza. Non si tratta soltanto di aiutare lo Stato richiedente a provare i fatti già emersi, ma di svelarne altri, se ne esistono. Ne deriva, per l'autorità d'esecuzione, un dovere di esau- stività che giustifica la comunicazione di tutti gli elementi da essa raccolti e po- tenzialmente idonei alle indagini estere, al fine di chiarire in tutti i suoi aspetti i meccanismi delittuosi sotto la lente degli inquirenti esteri (sentenze del Tribu- nale penale federale RR.2010.173 del 13 ottobre 2010 consid. 4.2.4/a e RR.2009.320 del 2 febbraio 2010 consid. 4.1). Vietata è per contro la cosiddetta fishing expedition, la quale è definita dalla giurisprudenza una ricerca generale e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t>- 10 -</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in maniera ampia, a condizione che tutti i requisiti per concedere l'assistenza siano comunque adempiuti (DTF 121 II 241 consid. 3; sentenza del Tribunale federale 1A.258/2006 del 16 febbraio 2007 consid. 2.3). Alle predette condizioni possono quindi essere trasmessi delle in- formazioni e dei documenti non espressamente menzionati nella domanda di assistenza (TPF 2009 161 consid. 5.2; sentenze del Tribunale penale federale RR.2010.39 del 28 aprile 2010 consid. 5.1, e RR.2010.8 del 16 aprile 2010 con- sid. 2.2) ed incombe alla persona toccata dalla misura dimostrare in maniera chiara e precisa perché i documenti e le informazioni in questione vanno oltre il senso che si può ragionevolmente attribuire alla domanda rogatoriale, rispetti- vamente non presentano nessun interesse per la procedura estera.</w:t>
      </w:r>
    </w:p>
    <w:p>
      <w:r>
        <w:rPr>
          <w:b/>
        </w:rPr>
        <w:t>E. 3.2</w:t>
      </w:r>
    </w:p>
    <w:p>
      <w:r>
        <w:t>In concreto, alla luce dello statuto d’imputato del ricorrente, della natura finan- ziaria dei reati contestatigli in Italia e della giurisprudenza applicabile in materia (v. supra consid. 2.1), tutta la documentazione litigiosa è potenzialmente utile e va trasmessa all’autorità rogante, affinché quest’ultima possa ricostruire e ac- clarare con la necessaria completezza il ruolo del ricorrente e delle società a lui riconducibili nei fatti oggetto d’inchiesta. L’autorità rogante ha del resto eviden- ziato svariati trasferimenti di denaro a destinazione del conto litigioso per un importo complessivo di EUR 521'000.– che necessitano approfondimenti (v. atto 1, pag. 2 e seg. incarto MP-TI). Il MP-TI non ha quindi statuito ultra petita risp. in maniera sproporzionata come sostenuto dal ricorrente.</w:t>
      </w:r>
    </w:p>
    <w:p>
      <w:r>
        <w:t>Spetterà comunque al giudice estero del merito valutare se dalla documenta- zione inoltrata emerge in concreto una connessione penalmente rilevante fra i fatti oggetto della procedura penale in Italia e la stessa documentazione. In de- finitiva, la trasmissione di quest'ultima rispetta il principio della proporzionalità e non costituisce una ricerca indiscriminata di mezzi di prova.</w:t>
      </w:r>
    </w:p>
    <w:p>
      <w:r>
        <w:rPr>
          <w:b/>
        </w:rPr>
        <w:t>E. 4</w:t>
      </w:r>
    </w:p>
    <w:p>
      <w:r>
        <w:t>Il ricorrente ritiene infine che l’importo sequestrato sarebbe sproporzionato, nella misura in cui non si sarebbe tenuto conto di importi già da lui restituiti (EUR 67'589.34) e di rettifiche fiscali da lui operate (per EUR 203'500.–), preci- sato che quanto sequestrato non dovrebbe garantire eventuali sanzioni che sa- ranno ordinate dall’Agenzia delle entrate italiana. Quanto invece all’importo complessivo di EUR 381'485.49 (EUR 172'014.47 + EUR 209'471.03), legato a reati contestati alla C. s.r.l., l’istruttoria italiana avrebbe già permesso di eviden- ziare che il ruolo del ricorrente per tale società sarebbe stato quello di consu- lente e intermediario e non di amministratore. Inoltre, per l’importo di</w:t>
      </w:r>
    </w:p>
    <w:p>
      <w:r>
        <w:t>- 11 -</w:t>
      </w:r>
    </w:p>
    <w:p>
      <w:r>
        <w:t>EUR 209'471.03, la società avrebbe già provveduto a rettificare le dichiarazioni IVA originarie, non sussistendo più un danno per l’erario italiano. Alla luce di quanto precede, anche il blocco di EUR 381'485.49 non si giustificherebbe. In sede di replica, il ricorrente, sostenendo di avere nel frattempo provveduto a estinguere integralmente il suo debito tributario, afferma che il suo legale in Ita- lia avrebbe chiesto la revoca del sequestro preventivo dei suoi beni, ciò che comporterebbe di conseguenza anche il ritiro a breve della domanda di assi- stenza (v. act. 14, pag. 2 e seg.).</w:t>
      </w:r>
    </w:p>
    <w:p>
      <w:r>
        <w:rPr>
          <w:b/>
        </w:rPr>
        <w:t>E. 4.1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4.2</w:t>
      </w:r>
    </w:p>
    <w:p>
      <w:r>
        <w:t>Orbene, come illustrato nella rogatoria e ripreso nella decisione impugnata, il ricorrente è imputato all’estero per essere sospettato di avere creato uno schema fraudolento incentrato sul sistematico ricorso a fatturazioni incrociate relative a prestazioni inesistenti fra soggetti collegati e sempre a lui riconducibili, finalizzate alla creazione di indebita IVA a credito. La relazione litigiosa può quindi essere stata toccata da flussi patrimoniali legati alla truffa in questione, ciò che sostanzia il sospetto che i valori ivi depositati possano essere di origine criminale. Tenuto conto di quanto precede, del danno globale di EUR 652'574.83 contestato al ricorrente nonché del sequestro di EUR 33'209.93 già effettuato in Italia a suo carico (v. atto 1, pag. 2 e seg. incarto MP-TI), è senz'altro possibile confermare il sequestro litigioso, visto che i valori patrimoniali sequestrati corrispondono esattamente alla differenza tra i due im- porti e non vi è ragione di ritenere che l’autorità italiana non tenga conto di even- tuali restituzioni già effettuate. Il potenziale nesso fra il denaro sequestrato e i reati contestati al ricorrente è dato: toccherà poi all'autorità estera accertare se il denaro in questione sia effettivamente di origine illecita, rispettivamente in che misura sia confiscabile tenuto conto delle asserite restituzioni (v. art. 74a cpv. 1 e 2 AIMP nonché DTF 123 II 134 consid. 5c; 123 II 268 consid. 4; 123 II 595 consid. 3). In definitiva, il contestato sequestro deve essere mantenuto di prin- cipio sino alla notifica di una decisione definitiva ed esecutiva dello Stato richie- dente o fintanto che quest'ultimo non abbia comunicato che una tale decisione non può più essere pronunciata (art. 74a cpv. 3 AIMP e 33a OAIMP; TPF 2007 124 consid. 8 e rinvii), ferma restando la necessità che la procedura all'estero avanzi (DTF 126 II 462 consid. 5e). In sede di duplica, il MP-TI ha per altro</w:t>
      </w:r>
    </w:p>
    <w:p>
      <w:r>
        <w:t>- 12 -</w:t>
      </w:r>
    </w:p>
    <w:p>
      <w:r>
        <w:t>osservato di non avere ricevuto comunicazione né di una revoca del sequestro preventivo in Italia dei beni del ricorrente né del ritiro della domanda di assi- stenza da parte dell’autorità rogante (v. act. 16).</w:t>
      </w:r>
    </w:p>
    <w:p>
      <w:r>
        <w:rPr>
          <w:b/>
        </w:rPr>
        <w:t>E. 5</w:t>
      </w:r>
    </w:p>
    <w:p>
      <w:r>
        <w:t>In conclusione, il ricorso va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6'000.–, a carico del ricorrente;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