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 vom 5. März 2025</w:t>
      </w:r>
    </w:p>
    <w:p>
      <w:r>
        <w:t>Bundesstrafgericht, 2025-03-05, IT</w:t>
      </w:r>
    </w:p>
    <w:p>
      <w:r>
        <w:rPr>
          <w:b/>
        </w:rPr>
        <w:t xml:space="preserve">Quelle: </w:t>
      </w:r>
      <w:r>
        <w:t>https://mcp.opencaselaw.ch/entscheid/bstger_RR.2025.17</w:t>
      </w:r>
    </w:p>
    <w:p>
      <w:r>
        <w:t>FR: TPF RR.2025.17 du 5 mars 2025</w:t>
      </w:r>
    </w:p>
    <w:p>
      <w:r>
        <w:t>IT: TPF RR.2025.17 del 5 marzo 2025</w:t>
      </w:r>
    </w:p>
    <w:p>
      <w:pPr>
        <w:pStyle w:val="Heading2"/>
      </w:pPr>
      <w:r>
        <w:t>Regeste</w:t>
      </w:r>
    </w:p>
    <w:p>
      <w:r>
        <w:t>Assistenza giudiziaria internazionale in materia penale alla Croazia; decisione di estradizione (art. 55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Repubblica di Croazia e la Confederazione Svizzera è an- zitutto retta dalla Convenzione europea d'estradizione del 13 dicembre 1957 (CEEstr; RS 0.353.1), entrata in vigore il 25 aprile 1995 per la Croazia ed il 20 marzo 1967 per il nostro Paese. Applicabili sono altresì il relativo Protocollo addizionale del 15 ottobre 1975 nonché il Secondo Protocollo addizionale del 17 marzo 1978, entrambi entrati in vigore il 25 aprile 1995 per la Croazia ed il 9 giugno 1985 per la Svizzera (RS 0.353.11 e 0.353.12). Di rilievo sono inoltre gli art. 59 e segg. della Convenzione di applicazione del 19 giugno 1990 dell’Ac- cordo di Schengen del 14 giugno 1985 (CAS; Gazzetta ufficiale dell’Unione eu- ropea n. L 239 del 22 settembre 2000, pag. 19-62) in relazione alla Decisione 2007/533/GAI del Consiglio del 12 giugno 2007 sull’istituzione, l’esercizio e l’uso del sistema d’informazione Schengen di seconda generazione (SIS II), capo V, art. 26-31 (Gazzetta ufficiale dell’Unione europea n. L 205/63 del 7 ago- sto 2007, pag. 63).</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w:t>
      </w:r>
    </w:p>
    <w:p>
      <w:r>
        <w:t>- 4 -</w:t>
      </w:r>
    </w:p>
    <w:p>
      <w:r>
        <w:t>fondamentali (DTF 145 IV 294 consid. 2.1; 135 IV 212 consid. 2.3; 123 II 595 consid. 7c; TPF 2008 24 consid. 1.1).</w:t>
      </w:r>
    </w:p>
    <w:p>
      <w:r>
        <w:rPr>
          <w:b/>
        </w:rPr>
        <w:t>E. 2</w:t>
      </w:r>
    </w:p>
    <w:p>
      <w:r>
        <w:t>Invocando il contenuto dell’ordinanza croata, che avrebbe limitato la custodia cautelare in carcere a un solo mese dal momento dell’arresto, il ricorrente so- stiene innanzitutto che l’entità della pena che potrebbe essergli inflitta in Croazia per i fatti di cui è accusato non raggiungerebbe la durata minima prevista dall’art. 2 cpv. 1 CEEstr. Inoltre, nella misura in cui gli ordigni esplosivi non sa- rebbero stati atti a raggiungere lo scopo prefissato, i reati contestatigli dalle au- torità croate costituirebbero dei delitti impossibili, ciò che nel diritto svizzero con- durrebbe all’esenzione da qualsiasi pena. La domanda di estradizione sarebbe quindi da respingere.</w:t>
      </w:r>
    </w:p>
    <w:p>
      <w:r>
        <w:rPr>
          <w:b/>
        </w:rPr>
        <w:t>E. 2.1</w:t>
      </w:r>
    </w:p>
    <w:p>
      <w:r>
        <w:t>Secondo l'art. 1 CEEstr le parti contraenti sono di principio obbligate a estra- darsi reciprocamente gli individui perseguiti per un reato o ricercati per l'esecu- zione di una pena o di una misura di sicurezza dalle autorità giudiziarie della parte richiedente. Danno luogo all'estradizione i fatti che le leggi della parte ri- 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richiedente, la san- zione presa deve essere di almeno quattro mesi (art. 2 cpv. 1 CEEstr; art. 35 cpv. 1 AIMP). Determinante è la pena pronunciata e non la durata della pena ancora da scontare (sentenza del Tribunale federale 1A.159/2003 del 15 set- tembre 2003 consid. 6.2 con rinvii). Nei confronti di uno Stato firmatario della CEEstr, l'estradizione non può essere negata con riferimento alla minima parte della sanzione che resta ancora effettivamente da espiare (DTF 112 Ib 59 con- sid. 2a in fine; sentenze del Tribunale penale federale RR.2015.117 del 13 ago- sto 2015 consid. 9.2; RR.2014.287 del 12 gennaio 2015 consid. 4.2; RR.2013.9 del 23 aprile 2013 consid. 4.3)</w:t>
      </w:r>
    </w:p>
    <w:p>
      <w:r>
        <w:rPr>
          <w:b/>
        </w:rPr>
        <w:t>E. 2.2</w:t>
      </w:r>
    </w:p>
    <w:p>
      <w:r>
        <w:t>In concreto, è evidente che l’ordinanza di custodia cautelare croata si limita uni- camente a fissare la durata, in casu di un mese (v. ordinanza, pag. 2, in act. 4.9), della detenzione preventiva prevista inizialmente nell’ambito del procedi- mento penale a carico dell’estradando, durata che sarà rivalutata di volta in volta a dipendenza dello stato del procedimento estero, segnatamente del pe- ricolo di fuga e di collusione. Ciò che occorre invece qui analizzare sono le pene comminate in Croazia e in Svizzera per i fatti contestati all’estradando, descritti nella rogatoria (v. act. 4.9) e così riassunti dall’UFG nella decisione impugnata: “Il perseguito è sospettato di avere, in data 14 aprile 2020 a Zagabria U., appo- sto nel rivestimento di plastica del parafango della ruota anteriore sinistra dell’autovettura Porsche 911 Carrera, con targhe tedesche 1, in uso a B., un ordigno esplosivo improvvisato. Una carica esplosiva elettrica contente 200</w:t>
      </w:r>
    </w:p>
    <w:p>
      <w:r>
        <w:t>- 5 -</w:t>
      </w:r>
    </w:p>
    <w:p>
      <w:r>
        <w:t>grammi di TNT era collegata a un cellulare e dispositivo GPS tracker, che per- metteva di localizzare la vettura. Una volta determinata la posizione della vet- tura, il perseguito e il suo complice effettuavano tra le ore 09:39:54 e le ore 09:49:16 in totale 19 chiamate al cellulare suindicato, al fine di attivare la cap- sula detonante elettronica istallata nell’autovettura, in modo da causare l’esplo- sione e quindi uccidere B. Avendo inserito in modo erroneo la carta SIM nel cellulare, la detonazione non ha potuto essere attivata e l’esplosione prevista non è avvenuta. Il perseguito è altresì sospettato di avere, in data 11 maggio 2020, a Zagabria U., apposto nel rivestimento di plastica del parafango della ruota anteriore sinistra dell’autovettura Porsche 911 Carrera, con targhe tede- sche 1, in uso a B., un ordigno esplosivo improvvisato. Una carica esplosiva elettrica contente 200 grammi di TNT era collegata a un cellulare e dispositivo GPS tracker, che permetteva di localizzare la vettura. Una volta determinata la posizione della vettura, il perseguito e il suo complice effettuavano tra le ore 08:42:04 e le ore 09:02:04 in totale 10 chiamate al cellulare suindicato, al fine di attivare la capsula detonante elettronica istallata nell’autovettura, causare l’esplosione e quindi uccidere B. La detonazione non ha potuto essere attivata e l’esplosione prevista non è avvenuta per una ragione che non ha potuto es- sere accertata” (act. 1.2, pag. 4 e seg.).</w:t>
      </w:r>
    </w:p>
    <w:p>
      <w:r>
        <w:t>L’art. 22 cpv. 1 CP prevede che chiunque, avendo cominciato l’esecuzione di un crimine o di un delitto, non compie o compie senza risultato o senza possi- bilità di risultato tutti gli atti necessari alla consumazione del reato può essere punito con pena attenuata. Per contro, giusta il cpv. 2 di questo stesso articolo, l’autore che, per grave difetto di intelligenza, non si rende conto che l’oggetto contro il quale l’atto è diretto o il mezzo da lui usato per commetterlo è di natura tale da escludere in modo assoluto la consumazione del reato è esente da pena. Il cosiddetto reato impossibile (untauglicher Versuch, délit impossible) è una forma di tentativo in cui, contrariamente a quanto ritenuto dall’autore, la realiz- zazione dello stesso è in realtà impossibile. In questo senso si tratta di un errore sui fatti a sfavore del reo (v. art. 13 cpv. 1 CP): egli ritiene di compiere un reato ma in realtà la sua condotta è assolutamente priva di pericolosità (DTF 140 IV 150 consid. 3.5; 124 IV 97 consid. 2a; v. anche DTF 126 IV 53 consid. 2b). Un tentativo può essere impossibile in ragione del mezzo o dell’oggetto dell’infra- zione. L’oggetto è impossibile quando gli manca una caratteristica facente parte degli elementi costitutivi dell’infrazione. Il mezzo è impossibile quando non per- mette di realizzare l’infrazione in questione. Ciò è il caso quando tale impossi- bilità è assoluta, come per esempio un tentativo di avvelenamento mediante una sostanza che si rivela in realtà innocua. Se invece il mezzo è atto a produrre il risultato in questione, ma non con il metodo di applicazione o con il dosaggio scelto dall’autore, trattasi di un’impossibilità relativa e quindi di un tentativo a tutti gli effetti (v. KILLIAS/KUHN/DONGOIS, Précis de droit pénal général, 4a ediz. 2016, n. 516).</w:t>
      </w:r>
    </w:p>
    <w:p>
      <w:r>
        <w:t>- 6 -</w:t>
      </w:r>
    </w:p>
    <w:p>
      <w:r>
        <w:t>In concreto, già solo per il fatto che in entrambi i casi è stato usato dell’esplosivo, mezzo la cui pericolosità è oggettivamente indubbia, è palese che la tesi del tentativo impossibile, a prescindere dalle ragioni per cui la detonazione non è avvenuta, è assolutamente insostenibile. Ciò constatato, rilevato come l’art. 111 comma 1 della legge penale croata (in seguito: LP-HR) punisca l’omicidio con una pena minima di dieci anni o una pena di reclusione di lunga durata (v. act. 4.9) e che secondo l’art. 111 CP, chiunque intenzionalmente uccide una per- sona è punito con una pena detentiva non inferiore a cinque anni, pur essendo la pena attenuata in caso di tentativo in entrambi gli Stati (v. art. 34 LP-HR e 22 CP), le condizioni di cui all’art. 2 cpv. 1 CEEstr. sono da considerarsi adempiute, per cui le censure in questo ambito vanno tutte disattese.</w:t>
      </w:r>
    </w:p>
    <w:p>
      <w:r>
        <w:rPr>
          <w:b/>
        </w:rPr>
        <w:t>E. 3</w:t>
      </w:r>
    </w:p>
    <w:p>
      <w:r>
        <w:t>L’insorgente dichiara di avere un alibi giusta l’art. 53 AIMP. Nel gravame si af- ferma che “il qui imputato potrà solo nel prosieguo della procedura dar tuttavia prova del suo mancato coinvolgimento con quanto sostenuto dalle Autorità croate, in particolare il fatto che questi si trovasse all’estero nei periodi in cui gli inquirenti sostengono che avrebbe commesso il reato” (act. 1, pag. 11).</w:t>
      </w:r>
    </w:p>
    <w:p>
      <w:r>
        <w:rPr>
          <w:b/>
        </w:rPr>
        <w:t>E. 3.1</w:t>
      </w:r>
    </w:p>
    <w:p>
      <w:r>
        <w:t>Secondo l'art. 53 AIMP, se la persona perseguita afferma di poter provare che, al momento del fatto, non si trovava nel luogo di commissione, l'Ufficio federale procede ai chiarimenti necessari (cpv. 1). Nei casi palesi, l'estradizione è ne- gata. Negli altri casi, le prove a discarico sono comunicate allo Stato richiedente invitandolo a dichiarare entro breve termine se intende mantenere la domanda (cpv. 2). Una versione dei fatti differente da quella descritta nella richiesta estera o semplici argomenti a discarico non possono essere presi in considerazione a tale titolo (JdT 2012 IV 5 n. 140). In altre parole, è necessario che il fatto invo- cato come alibi conduca ineluttabilmente ad un giudizio d'innocenza nello Stato richiedente e alla messa in libertà, ciò che giustifica la reiezione della domanda d'estradizione (sentenze del Tribunale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destinata a determinare la realtà dell'alibi invocato (DTF 112 Ib 215 consid. 5b; 92 I 108 consid. 1). In particolare, l'interrogatorio di per- sone residenti all'estero non rientra nella sua missione (sentenze del Tribunale federale 1A.174/2006 consid. 4.5; 1A.79/1994 del 7 giugno 1994 consid. 3c; 1A.206/1989 del 17 gennaio 1990 consid. 3c). L'alibi deve essere fornito senza indugio; la semplice invocazione di un alibi e l'annuncio di prove future non sod- disfano tale condizione (DTF 109 IV 174 consid. 2; sentenze del Tribunale pe- nale federale RR.2020.172 del 28 agosto 2020 consid. 4; RR.2011.180+214 del 29 novembre 2011 consid. 7.1).</w:t>
      </w:r>
    </w:p>
    <w:p>
      <w:r>
        <w:t>- 7 -</w:t>
      </w:r>
    </w:p>
    <w:p>
      <w:r>
        <w:rPr>
          <w:b/>
        </w:rPr>
        <w:t>E. 3.2</w:t>
      </w:r>
    </w:p>
    <w:p>
      <w:r>
        <w:t>In concreto, non avendo il ricorrente presentato nessun elemento concreto che permetta di accertare senza indugio e quindi senza dover procedere a ulteriori atti istruttori, la sussistenza di un alibi, la censura relativa alla pretesa violazione dell'art. 53 AIMP non merita ulteriore disamina.</w:t>
      </w:r>
    </w:p>
    <w:p>
      <w:r>
        <w:rPr>
          <w:b/>
        </w:rPr>
        <w:t>E. 4</w:t>
      </w:r>
    </w:p>
    <w:p>
      <w:r>
        <w:t>In conclusione, non essendovi nessuna ragione per negare l'estradizione del reclamante, il gravame deve essere respinto.</w:t>
      </w:r>
    </w:p>
    <w:p>
      <w:r>
        <w:rPr>
          <w:b/>
        </w:rPr>
        <w:t>E. 5</w:t>
      </w:r>
    </w:p>
    <w:p>
      <w:r>
        <w:t>Il reclamante sollecita la concessione del beneficio dell'assistenza giudiziaria e del gratuito patrocinio nella persona dell’avv. Matteo Genovini (v. RP.2025.8, act. 1).</w:t>
      </w:r>
    </w:p>
    <w:p>
      <w:r>
        <w:rPr>
          <w:b/>
        </w:rPr>
        <w:t>E. 5.1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- 8 -</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5.2</w:t>
      </w:r>
    </w:p>
    <w:p>
      <w:r>
        <w:t>Nella fattispecie il ricorrente ha inoltrato a questa autorità l'apposito formulario, limitandosi tuttavia ad indicare la sua professione di economista, nonché i nomi della moglie e dei figli, omettendo qualsiasi altra informazione che permetta di esaminare la sua situazione finanziaria (v. RP.2025.8, act. 4). La domanda di assistenza giudiziaria gratuita va quindi respinta già solo per questo motivo. Essa sarebbe del resto da respingere anche a causa dell'assenza di probabilità di successo. In effetti, le censure sollevate dal ricorrente, alla luce dei principi giurisprudenziali applicabili in ambito estradizionale, erano manifestamente da respingere, sia per quanto riguarda il principio della doppia punibilità che per la questione dell’alibi.</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