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RR.2025.169 vom 4. Februar 2026</w:t>
      </w:r>
    </w:p>
    <w:p>
      <w:r>
        <w:t>Bundesstrafgericht, 2026-02-04, IT</w:t>
      </w:r>
    </w:p>
    <w:p>
      <w:r>
        <w:rPr>
          <w:b/>
        </w:rPr>
        <w:t xml:space="preserve">Quelle: </w:t>
      </w:r>
      <w:r>
        <w:t>https://mcp.opencaselaw.ch/entscheid/bstger_RR.2025.169</w:t>
      </w:r>
    </w:p>
    <w:p>
      <w:r>
        <w:t>FR: TPF RR.2025.169 du 4 février 2026</w:t>
      </w:r>
    </w:p>
    <w:p>
      <w:r>
        <w:t>IT: TPF RR.2025.169 del 4 febbraio 2026</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sull'assistenza in materia penale, unita- mente alla relativa ordinanza (OAIMP; RS 351.11; v. art. 1 cpv. 1 AIMP, art. I n.</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w:t>
      </w:r>
    </w:p>
    <w:p>
      <w:r>
        <w:t>- 5 -</w:t>
      </w:r>
    </w:p>
    <w:p>
      <w:r>
        <w:t>12 cpv. 1 AIMP; v. DANGUBIC/KESHELAVA, Commentario basilese, 2015, n. 1 e segg. ad art. 12 AIMP), di cui al precedente considerando.</w:t>
      </w:r>
    </w:p>
    <w:p>
      <w:r>
        <w:rPr>
          <w:b/>
        </w:rPr>
        <w:t>E. 1.4</w:t>
      </w:r>
    </w:p>
    <w:p>
      <w:r>
        <w:t>Nella misura in cui sulla relazione n. 1 presso la banca C., intestato al MP-TI, sono depositati valori patrimoniali derivanti dalla vendita d’immobili di cui la ri- corrente era proprietaria, la legittimazione è data.</w:t>
      </w:r>
    </w:p>
    <w:p>
      <w:r>
        <w:rPr>
          <w:b/>
        </w:rPr>
        <w:t>E. 1.5.1</w:t>
      </w:r>
    </w:p>
    <w:p>
      <w:r>
        <w:t>Il termine di ricorso contro una decisione finale è di trenta giorni dalla comuni- cazione per scritto della decisione (art. 80k AIMP). L’autorità d’esecuzione e l’autorità di ricorso notificano le loro decisioni all’avente diritto abitante in Sviz- zera (art. 80m cpv. 1 lett. a AIMP). Nel caso di una SA la decisione va di princi- pio notificata al domicilio legale giusta l’art. 117 cpv. 2 dell’ordinanza sul registro di commercio (ORC; RS 221.411), riservata la facoltà di iscrivere nel registro di commercio altri indirizzi situati in Svizzera, in particolare un indirizzo di liquida- zione o una casella postale (art. 117 cpv. 5 ORC; v. più ampiamente VON DER CRONE, Aktienrecht, 2a ediz., 2020, pag. 102).</w:t>
      </w:r>
    </w:p>
    <w:p>
      <w:r>
        <w:rPr>
          <w:b/>
        </w:rPr>
        <w:t>E. 1.5.2</w:t>
      </w:r>
    </w:p>
    <w:p>
      <w:r>
        <w:t>In concreto, la decisione di chiusura del 7 aprile 2025 è stata intimata dal MP- TI, a mezzo raccomandata, all’indirizzo fino a quel momento noto alle autorità e altresì iscritto nel Registro di commercio del Cantone Ticino, ovvero in via Z., 6942 Savosa (v. act. 1.2, pag. 9 e act. 6.1). L’8 aprile 2025 l’invio raccomandato è stato rinviato al mittente in quanto il destinatario risultava irreperibile all’indi- rizzo indicato (v. act. 6.2). Con scritto del 17 aprile 2025, il MP-TI ha per tanto segnalato all’Ufficio del registro di commercio “che nell’ambito di un procedi- mento rogatoriale è emerso che A. SA non ha più una sede. Tutta la corrispon- denza trasmessa in via Z., 6942 Savosa ritorna al mittente con l’indicazione che l’indirizzo è errato. Vi prego pertanto di procedere conformemente all’art. 934a CO” (act. 1.6).</w:t>
      </w:r>
    </w:p>
    <w:p>
      <w:r>
        <w:t>Orbene, questa Corte rileva innanzitutto che toccava alla ricorrente, al momento in cui si è trasferita da Savosa a Lugano, organizzarsi in maniera da continuare a ricevere tutta la corrispondenza a lei destinata. Essendo al corrente già da tempo della rogatoria pendente (v. anche decisione di entrata in materia e inci- dentale del 22 agosto 2016, atto 2 incarto MP-TI) e dovendo attendersi una decisione da parte dell’autorità, essa doveva inoltre comunicare senza indugio al MP-TI il cambiamento d’indirizzo (in ogni caso un recapito postale) onde evi- tare il rischio di rendersi irreperibile all’autorità penale. Tale omissione è incon- ciliabile con l’obbligo di agire secondo il principio della buona fede giusta l’art. 5 cpv. 3 Cost. (v. anche sentenza del Tribunale penale federale RR.2012.93-95 del 18 luglio 2012 consid. 2.2 con rinvii), ma anche con gli obblighi di diligenza di qualsiasi organo societario (v. art. 717 cpv. 1 CO), visto che non si capisce come si possa amministrare seriamente una SA senza avere un recapito po- stale, e questo non solo nei normali rapporti con le autorità, poco importa se</w:t>
      </w:r>
    </w:p>
    <w:p>
      <w:r>
        <w:t>- 6 -</w:t>
      </w:r>
    </w:p>
    <w:p>
      <w:r>
        <w:t>penali, fiscali o amministrative, ma anche in quelli con i propri partner commer- ciali. La dottrina sottolinea giustamente il fatto che la sede di una persona giu- ridica debba sempre essere “fissa e determinata” (CHENAUX/PHILIPPIN/BLANC, Droit suisse de la société anonyme, 2025, pag. 37). Di fatto, una società senza una propria sede ex art. 56 CC, è una società impossibilitata ad intrattenere rapporti giuridici di qualsiasi tipo e non a caso, in base all’art. 934a CO, se un’impresa individuale non dispone più di un domicilio legale, l’Ufficio del regi- stro di commercio la cancella d’ufficio dal registro qualora la diffida pubblicata tre volte nel Foglio ufficiale svizzero di commercio sia rimasta infruttuosa. Nel caso concreto non si è arrivati a tanto, ma non certo per l’agire motu proprio degli amministratori della società, ma solo per reazione alla predetta segnala- zione del MP-TI, che per ammissione stessa della ricorrente l’ha portata “a sa- nare la propria lacuna e meglio in giugno 2025, a seguito di intimazione dell’URC su foglio ufficiale” (act. 1 pag. 4). Pretendere dal MP-TI che oltre a segnalare rettamente all’Ufficio registri l’assenza di recapito di una società, debba poi monitorare la situazione e verificare se in seguito (addirittura mesi dopo) la società abbia sanato questa grave irregolarità, non è ragionevolmente pretendibile e contrasta con l’obbligo di celerità ex art. 17a AIMP. Spettava piut- tosto agli organi della società farsi parte attiva e verificare se la prolungata as- senza di un recapito abbia avuto delle ripercussioni sia nei propri rapporti giuri- dici di tipo privato, sia in quelli con le autorità, tanto più che, come si è visto, essa era da lungo tempo a conoscenza di una procedura rogatoriale che la riguardava. Sostenere che “ritenuti i numerosi cambiamenti degli organi socie- tari negli anni, nonché il lungo tempo trascorso dalla decisione di chiusura [sic] del 2016, la ricorrente non poteva assolutamente aspettarsi la notifica di una decisione che la toccasse direttamente, come quella impugnata” di cui sarebbe “venuta a conoscenza solo per il tramite della lettera trasmessale dal legale di B.” (act. 1 pag. 5), è al limite del temerario.</w:t>
      </w:r>
    </w:p>
    <w:p>
      <w:r>
        <w:t>Visto quanto precede, per il computo dei termini di ricorso fa stato la notifica del</w:t>
      </w:r>
    </w:p>
    <w:p>
      <w:r>
        <w:rPr>
          <w:b/>
        </w:rPr>
        <w:t>E. 2</w:t>
      </w:r>
    </w:p>
    <w:p>
      <w:r>
        <w:t>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7</w:t>
      </w:r>
    </w:p>
    <w:p>
      <w:r>
        <w:t>aprile 2025, motivo per cui il ricorso del 6 novembre 2025 è palesemente tardivo e quindi inammissibile.</w:t>
      </w:r>
    </w:p>
    <w:p>
      <w:r>
        <w:t>2.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4'000.–, a carico della ricorrente; essa è coperta dall'anticipo delle spese di fr. 6'000.– già versato. La Cassa del Tribunale resti- tuirà alla ricorrente il saldo di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