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RR.2025.161 vom 14. November 2025</w:t>
      </w:r>
    </w:p>
    <w:p>
      <w:r>
        <w:t>Bundesstrafgericht, 2025-11-14, IT</w:t>
      </w:r>
    </w:p>
    <w:p>
      <w:r>
        <w:rPr>
          <w:b/>
        </w:rPr>
        <w:t xml:space="preserve">Quelle: </w:t>
      </w:r>
      <w:r>
        <w:t>https://mcp.opencaselaw.ch/entscheid/bstger_RR.2025.161</w:t>
      </w:r>
    </w:p>
    <w:p>
      <w:r>
        <w:t>FR: TPF RR.2025.161 du 14 novembre 2025</w:t>
      </w:r>
    </w:p>
    <w:p>
      <w:r>
        <w:t>IT: TPF RR.2025.161 del 14 novembre 2025</w:t>
      </w:r>
    </w:p>
    <w:p>
      <w:pPr>
        <w:pStyle w:val="Heading2"/>
      </w:pPr>
      <w:r>
        <w:t>Regeste</w:t>
      </w:r>
    </w:p>
    <w:p>
      <w:r>
        <w:t>Assistenza giudiziaria internazionale in materia penale all'Italia; decisione di estradizione (art. 55 AIMP); richiesta accessoria di scarcerazione (art. 50 cpv.3 AIMP); assistenza giudiziaria gratuita (art. 65 PA)</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 28 novem- bre 2018 sull'istituzione, l'esercizio e l'uso del sistema d'informazione Schengen (SIS) nel settore della cooperazione di polizia e della cooperazione giudiziaria in materia penale (n. CELEX 32018R1862; Gazzetta ufficiale dell’Unione euro- pea L 312 del 7 dicembre 2018, pag. 56-106; raccolta testi, 8.4 Sviluppi</w:t>
      </w:r>
    </w:p>
    <w:p>
      <w:r>
        <w:t>- 4 -</w:t>
      </w:r>
    </w:p>
    <w:p>
      <w:r>
        <w:t>dell'acquis di Schengen), così come, a partire dal 5 novembre 2019, le disposi- zioni della Convenzione del 27 settembre 1996 relativa all’estradizione tra gli Stati membri dell’Unione europea (Convenzione sull’estradizione UE; n° CELEX 41996A1023(02); Gazzetta ufficiale dell’Unione europea C 313 del 23 ottobre 1996, pag. 12-23, raccolta testi, 8.2 Allegato B) che in applicazione della Decisione 2003/169/GAI del Consiglio, del 27 febbraio 2003 (n° CELEX 32003D0169; Gazzetta ufficiale dell’Unione europea L 67 del 12 marzo 2003, pag. 25 e seg., raccolta testi, 8.2 Allegato B) costituiscono uno sviluppo dell’ac- quis di Schengen (ovvero gli art. 2, 6, 8, 9 e 13 nonché l’art. 1, per quanto per- tinente agli altri articoli). Restano impregiudicate disposizioni più favorevoli all’assistenza in vigore tra le parti (art. 59 n. 2 CAS; art. 1 n. 2 Convenzione sull’estradizione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1.5</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sopra.</w:t>
      </w:r>
    </w:p>
    <w:p>
      <w:r>
        <w:rPr>
          <w:b/>
        </w:rPr>
        <w:t>E. 2</w:t>
      </w:r>
    </w:p>
    <w:p>
      <w:r>
        <w:t>Il ricorrente sostiene che la sentenza del Tribunale di Pordenone del 6 maggio 2024 sarebbe stata pronunciata in sua assenza, ciò che non gli avrebbe dato la possibilità di difendersi. Inoltre, il procedimento sarebbe durato più di sei anni, sfociando in una condanna a una pena detentiva eccessivamente severa di</w:t>
      </w:r>
    </w:p>
    <w:p>
      <w:r>
        <w:rPr>
          <w:b/>
        </w:rPr>
        <w:t>E. 2.1.1</w:t>
      </w:r>
    </w:p>
    <w:p>
      <w:r>
        <w:t>L'art. 2 AIMP prevede che la domanda di cooperazione in materia penale è se- gnatamente irricevibile se vi è motivo di credere che il procedimento all'estero non corrisponda ai principi procedurali della CEDU o del Patto ONU II (lett. a) oppure se esso presenta altre gravi deficienze (lett. d). Secondo l'art. 3 n. 1 PA</w:t>
      </w:r>
    </w:p>
    <w:p>
      <w:r>
        <w:t>- 5 -</w:t>
      </w:r>
    </w:p>
    <w:p>
      <w:r>
        <w:t>II CEEstr, il cui contenuto corrisponde in sostanza all'art. 37 cpv. 2 AIMP, quando una Parte Contraente chiede a un'altra Parte Contraente l'estradizione di una persona allo scopo di eseguire una pena o una misura di sicurezza pro- nunciata nei suoi confronti con sentenza contumaciale, la Parte richiesta può rifiutare l'estradizione a tale scopo se, a suo parere, la procedura giudiziale non ha rispettato i diritti minimi della difesa riconosciuti a ogni persona accusata di un reato.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matière pénale, 6a ediz. 2024, n. 846 e rinvii). L'estradizione sarà nondimeno concessa se la Parte richiedente offre garanzie ritenute sufficienti per assicurare all'estradando il diritto a un nuovo processo che salvaguardi i diritti della difesa (v. anche TPF 2012 23 consid. 3.3). Questa decisione autorizza la Parte richiedente, sia a eseguire la sentenza in questione se il condannato non vi si oppone, sia, se questi si oppone, a pro- cessare nuovamente l'estradato (v. sentenza del Tribunale penale federale RR.2011.30 del 21 febbraio 2011 consid. 3.1). Ad una persona condannata in contumacia può venir negata la possibilità di essere rigiudicata in contraddittorio soltanto se è accertato che sia stata correttamente citata a comparire (TPF 2012 23 consid. 2 e 3.2.2).</w:t>
      </w:r>
    </w:p>
    <w:p>
      <w:r>
        <w:rPr>
          <w:b/>
        </w:rPr>
        <w:t>E. 2.1.2</w:t>
      </w:r>
    </w:p>
    <w:p>
      <w:r>
        <w:t>Per quanto riguarda l'asserita severità della pena pronunciata in Italia, va innan- zitutto rilevato che, fatti salvi i casi concernenti trattamenti crudeli, disumani o degradanti, l'autorità richiesta non può rifiutare di cooperare perché ritiene che il sistema sanzionatorio dell'autorità richiedente appare troppo severo (DTF 121 II 296 consid. 4; sentenza del Tribunale federale 1C_111/2007 del 25 maggio 2007 consid. 2.2; sentenza del Tribunale penale federale RR.2007.44 del 3 maggio 2007 consid. 5). Nell'ambito di una procedura estradizionale, infatti, la Svizzera non deve, di massima, pronunciarsi sulla maniera secondo cui lo Stato richiedente applica la sua politica preventiva e repressiva dei reati (sen- tenza del Tribunale federale 1A.118/2004 del 3 agosto 2004 consid. 4.5). Per tacere del fatto che di per sé la Svizzera non può rifiutare l'estradizione a uno Stato che ha aderito alla CEEstr semplicemente invocando il proprio ordine pub- blico interno, visto che non ha emesso esplicite riserve su questo punto (v. MOREILLON, Entraide internationale en matière pénale, 2004, n. 14 ad art. 1a AIMP e riferimenti giurisprudenziali).</w:t>
      </w:r>
    </w:p>
    <w:p>
      <w:r>
        <w:rPr>
          <w:b/>
        </w:rPr>
        <w:t>E. 2.2.1</w:t>
      </w:r>
    </w:p>
    <w:p>
      <w:r>
        <w:t>In concreto, dalla sentenza del Tribunale Ordinario di Pordenone del 6 maggio 2024 si evince che il ricorrente, assente al dibattimento, è stato dapprima difeso dall’avv. di fiducia B. e poi dall’avv. d’ufficio C., entrambi del foro di Pordenone (v. act. 4.3F, pag. 1). Nella stessa il Tribunale rileva che “all’esito dell’udienza</w:t>
      </w:r>
    </w:p>
    <w:p>
      <w:r>
        <w:t>- 6 -</w:t>
      </w:r>
    </w:p>
    <w:p>
      <w:r>
        <w:t>preliminare del 06.02.2024, nella quale veniva dichiarata l’assenza dell’impu- tato per aver ricevuto l’atto introduttivo del giudizio a mani proprie, A., difeso d’ufficio dall’avv. C., veniva rinviato a giudizio onde rispondere di quanto conte- stato in epigrafe, giusta decreto emesso dal Gup presso il Tribunale di Porde- none”. Ora, con scritto del 4 settembre 2025, l’UFG ha richiesto all’autorità ro- gante informazioni complementari sulla procedura in questione (v. act. 4.14). Con scritto del 25 settembre 2025, la Procura di Pordenone, rispondendo a pre- cise domande dell’UFG, ha dichiarato che: «a) con l’ordinanza di data 14/11/2023 n. 3499/22 RG GIP allegata al verbale di udienza preliminare del 6.2.2024, il Giudice rileva dagli atti che l’imputato ha ricevuto la notifica a com- parire a mezzo notificazione dell’atto a mani proprie; b) nella sentenza n. 384/2024 Reg. Sent., il Giudice certifica la dichiarazione di assenza dell’impu- tato all’udienza preliminare del 06/02/2024, avendo lo stesso ricevuto l’atto in- troduttivo del giudizio a mani proprie; c) il condannato ha sottoscritto il verbale di identificazione, elezione di domicilio per le notificazioni e di eventuale nomina del difensore di fiducia, della persona indagata redatto il 07/07/2018 da militare della Compagnia dei Carabinieri di Sacile; d) il condannato ha nominato un di- fensore di fiducia con procura speciale di data 14/03/2019. Il difensore di fiducia ha depositato la rinuncia al mandato difensivo in data 07/07/2023. Il difensore di fiducia il 03/01/2024 non ha accettato l’incarico nuovamente affidato. Con decreto di data 07/06/2024 il GIP del Tribunale di Pordenone ha nominato il difensore d’ufficio del condannato; e) la sentenza n. 384/24 Reg. Sent. non è stata notificata al condannato dichiarato dal Giudice del dibattimento “libero as- sente”, in quanto tale formalità è prevista dall’art. 548 c.p.p., solo ove il deposito delle motivazioni si verifichi “fuori termine”, cosa non avvenuta nel caso di spe- cie» (act. 4.17, con allegati). Ora, constatato che il ricorrente, correttamente difeso e citato a comparire (v. supra consid. 2.1.1), ha potuto far valere le pro- prie censure dinanzi al predetto Tribunale e che il giudizio in questione, non impugnato dalla difesa, è divenuto irrevocabile il 6 luglio 2024, tutte le censure in questo ambito vanno respinte.</w:t>
      </w:r>
    </w:p>
    <w:p>
      <w:r>
        <w:rPr>
          <w:b/>
        </w:rPr>
        <w:t>E. 2.2.2</w:t>
      </w:r>
    </w:p>
    <w:p>
      <w:r>
        <w:t>Per quanto riguarda la severità della pena inflittagli con la summenzionata sen- tenza, essa non appare particolarmente severa o esagerata o comunque sle- gata da qualsiasi rapporto con gli atti per i quali egli, maggiorenne all’epoca dei fatti, è stato condannato. Oltre ad aver rubato un’automobile e guidato senza patente e in stato di ebbrezza, egli ha ingaggiato un inseguimento pericoloso con le forze dell’ordine, procedendo ad alta velocità in un centro abitato, inva- dendo più volte la corsia opposta e rischiando a più riprese uno scontro frontale con altre automobili provenienti dalla direzione opposta. Inoltre, una volta fer- mato dai carabinieri, nel tentativo di ripartire, egli ha rischiato di investirli. Sus- seguentemente bloccato ed estratto dall’automobile, egli ha ancora tentato di divincolarsi e di opporsi al fermo. Solo grazie al sopraggiungere di rinforzi, egli è stato definitivamente neutralizzato e arrestato. Si tratta di atti di indubbia gra- vità che lo Stato richiedente è legittimato a punire secondo i propri criteri di</w:t>
      </w:r>
    </w:p>
    <w:p>
      <w:r>
        <w:t>- 7 -</w:t>
      </w:r>
    </w:p>
    <w:p>
      <w:r>
        <w:t>politica penale, sui quali lo Stato richiesto non è abilitato a intervenire, fermi restando casi estremi in nessun modo paragonabili alla fattispecie qui in esame. Anche tale censura va quindi disattesa.</w:t>
      </w:r>
    </w:p>
    <w:p>
      <w:r>
        <w:t>3. L’estradando afferma che l’UFG avrebbe dovuto verificare la possibilità di scon- tare la condanna in Svizzera. Egli vivrebbe infatti da diversi mesi in Svizzera in un ambiente sociale stabile, dimostrando impegno nell’integrarsi. L'esecuzione della pena nel nostro Paese favorirebbe la sua risocializzazione e terrebbe quindi conto anche dell'interesse pubblico a un'efficace esecuzione della pena.</w:t>
      </w:r>
    </w:p>
    <w:p>
      <w:r>
        <w:t>3.1 Secondo l'art. 37 cpv. 1 AIMP l'estradizione può essere negata se la Svizzera può assumere il perseguimento del reato o l'esecuzione della decisione penale straniera e ciò sembra opportuno riguardo al reinserimento sociale della per- sona perseguita. Tuttavia, la Svizzera può assumere il perseguimento di un reato commesso all'estero o l'esecuzione di una sentenza unicamente quando lo Stato in cui il reato è stato commesso domanda espressamente allo Stato richiesto di esercitare al suo posto il potere repressivo (DTF 120 Ib 120 consid. 3c; 117 Ib 210 consid. 3).</w:t>
      </w:r>
    </w:p>
    <w:p>
      <w:r>
        <w:t>3.2 In concreto, va rilevato che l'Italia non ha presentato nessuna richiesta alla Sviz- zera di assunzione del perseguimento per reati commessi dal ricorrente all'e- stero e la pretesa integrazione nel nostro Paese non è suffragata dalla minima prova. Per tacere del fatto che l'art. 37 cpv. 1 AIMP non è opponibile ad uno Stato che, come l'Italia, è parte alla CEEstr, il cui testo non contiene nessuna regola analoga all'art. 37 AIMP (DTF 129 II 100 consid. 3.1; 122 II 485 consid. 3; sentenza del Tribunale federale 1A.233/2004 dell'8 novembre 2004, consid. 3.3; sentenza del Tribunale penale federale RR.2015.309 del 12 gennaio 2016 consid. 3.3). Tale censura non merita quindi ulteriore disamina.</w:t>
      </w:r>
    </w:p>
    <w:p>
      <w:r>
        <w:rPr>
          <w:b/>
        </w:rPr>
        <w:t>E. 4</w:t>
      </w:r>
    </w:p>
    <w:p>
      <w:r>
        <w:t>In conclusione, non essendovi nessuna ragione per negare l'estradizione del ricorrente, il gravame deve essere respinto.</w:t>
      </w:r>
    </w:p>
    <w:p>
      <w:r>
        <w:rPr>
          <w:b/>
        </w:rPr>
        <w:t>E. 5</w:t>
      </w:r>
    </w:p>
    <w:p>
      <w:r>
        <w:t>Il ricorrente postula la sua immediata scarcerazione.</w:t>
      </w:r>
    </w:p>
    <w:p>
      <w:r>
        <w:rPr>
          <w:b/>
        </w:rPr>
        <w:t>E. 5.1</w:t>
      </w:r>
    </w:p>
    <w:p>
      <w:r>
        <w:t>Una persona detenuta a titolo estradizionale può chiedere la liberazione prov- visoria in qualsiasi momento (art. 50 cpv. 3 AIMP). La decisione dell'UFG al riguardo può essere impugnata presso la Corte dei reclami penali entro dieci giorni (art. 48 cpv. 2 e 50 cpv. 3 AIMP). Tuttavia, la Corte dei reclami penali può eccezionalmente pronunciarsi in prima istanza su una richiesta di scarcerazione presentata nell'ambito di un ricorso contro una decisione di estradizione, se un eventuale rifiuto dell'estradizione comporterebbe anche la liberazione diretta del</w:t>
      </w:r>
    </w:p>
    <w:p>
      <w:r>
        <w:t>- 8 -</w:t>
      </w:r>
    </w:p>
    <w:p>
      <w:r>
        <w:t>ricorrente, avendo tale richiesta natura puramente accessoria (sentenza del Tri- bunale federale 1A.13/2007 del 9 marzo 2017 consid. 1.2; sentenza del Tribu- nale penale federale RR.2008.59 del 19 giugno 2008 consid. 2.2).</w:t>
      </w:r>
    </w:p>
    <w:p>
      <w:r>
        <w:rPr>
          <w:b/>
        </w:rPr>
        <w:t>E. 5.2</w:t>
      </w:r>
    </w:p>
    <w:p>
      <w:r>
        <w:t>Per costante giurisprudenza, durante tutta la procedura di estradizione la car- cerazione della persona perseguita costituisce la regola mentre la scarcera- zione rimane l'eccezione (DTF 130 II 306 consid. 2.2; 117 IV 359 consid. 2a; 111 IV 108 consid. 2; 109 IV 159; 109 Ib 58 consid. 2, 223 consid. 2c; ZIMMERMANN, op. cit., n. 426 e n. 428; HEIMGARTNER, Auslieferungsrecht, 2002, pag. 57). L'ordine di arresto in vista di estradizione può tuttavia essere annul- lato, rispettivamente la liberazione ordinata, segnatamente se è verosimile che la persona perseguita non si sottrarrà all'estradizione né comprometterà l'istru- zione penale (art. 47 cpv. 1 lett. a AIMP; DTF 109 IV 159), se essa può produrre immediatamente il suo alibi (art. 47 cpv. 1 lett. b AIMP), se le sue condizioni non le permettono di essere incarcerata o se altri motivi lo giustificano e possono essere adottati altri provvedimenti cautelari (art. 47 cpv. 2 AIMP), se la domanda di estradizione e i documenti a suo sostegno non pervengono tempestivamente (art. 50 cpv. 1 AIMP) o, ancora, se l'estradizione appare manifestamente inam- missibile (art. 51 cpv. 1 AIMP).</w:t>
      </w:r>
    </w:p>
    <w:p>
      <w:r>
        <w:rPr>
          <w:b/>
        </w:rPr>
        <w:t>E. 5.3</w:t>
      </w:r>
    </w:p>
    <w:p>
      <w:r>
        <w:t>La sussistenza dei presupposti che giustificano l'annullamento dell'ordine di ar- resto, rispettivamente la scarcerazione, deve essere valutata secondo criteri ri- gorosi, tali da non rendere illusorio l'impegno assunto dalla Svizzera di conse- gnare – ove la domanda di estradizione sia accolta e cresciuta in giudicato – le persone perseguite dallo Stato che ne ha fatto la richiesta (art. 1 CEEstr); la liberazione provvisoria dalla carcerazione ai fini estradizionali soggiace in altri termini a condizioni più severe di quelle applicabili in materia di carcerazione preventiva (DTF 130 II 306 consid. 2.2; 111 IV 108 consid. 2 e 3; 109 Ib 223 consid. 2c).</w:t>
      </w:r>
    </w:p>
    <w:p>
      <w:r>
        <w:rPr>
          <w:b/>
        </w:rPr>
        <w:t>E. 5.4</w:t>
      </w:r>
    </w:p>
    <w:p>
      <w:r>
        <w:t>Nel caso in esame, poiché, alla luce di quanto esposto sopra, l'estradizione dell'insorgente va concessa e le condizioni per una liberazione provvisoria non sono palesemente adempiute, la richiesta accessoria di scarcerazione deve es- sere respinta.</w:t>
      </w:r>
    </w:p>
    <w:p>
      <w:r>
        <w:rPr>
          <w:b/>
        </w:rPr>
        <w:t>E. 6</w:t>
      </w:r>
    </w:p>
    <w:p>
      <w:r>
        <w:t>Il reclamante sollecita la concessione del beneficio dell'assistenza giudiziaria e del gratuito patrocinio nella persona dell’avv. Gandi Calan (v. RP.2025.68, act. 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w:t>
      </w:r>
    </w:p>
    <w:p>
      <w:r>
        <w:t>- 9 -</w:t>
      </w:r>
    </w:p>
    <w:p>
      <w:r>
        <w:t>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 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t>- 10 -</w:t>
      </w:r>
    </w:p>
    <w:p>
      <w:r>
        <w:rPr>
          <w:b/>
        </w:rPr>
        <w:t>E. 6.2</w:t>
      </w:r>
    </w:p>
    <w:p>
      <w:r>
        <w:t>Nella fattispecie, il ricorrente ha unicamente indicato nell’apposito formulario, firmato dal suo patrocinatore e non da lui personalmente, come asserito nello scritto del 10 novembre 2025, di percepire, in qualità di cuoco, un salario netto mensile di fr. 3'540.– e di avere spese d’affitto mensili di fr. 750.– (v. RP.2025.68, act. 3 e 3.1). Ora, quanto precede, vista la totale assenza di docu- mentazione a sostegno – nel formulario viene chiaramente indicata la necessità di fornire tale documentazione (v. RP.2025.68, act. 2, pag. 2) –, non permette nemmeno una minimale verifica della situazione finanziaria del reclamante, condicio sine qua non per ammettere la domanda di assistenza giudiziaria gra- tuita. Essa sarebbe del resto da respingere anche a causa dell'assenza di pro- babilità di successo delle sue conclusioni. In effetti, le censure sollevate dal re- clamante, alla luce delle disposizioni legali e dei principi giurisprudenziali appli- cabili in ambito estradizionale, erano manifestamente da respingere, sia per quanto riguarda le asserite irregolarità procedurali nel procedimento estero, sia per l’asserita severità della pena inflittagli, sia per quanto concerne la richiesta di poter scontare la pena in Svizzera. In definitiva, la richiesta di assistenza giu- diziaria va respinta, sia per ciò che concerne la dispensa dal pagamento delle spese processuali, sia per quanto riguarda l'assunzione dell'onorario del suo difensore.</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3'000.– a carico del ricorrente.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