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RR.2025.158 vom 2. Februar 2026</w:t>
      </w:r>
    </w:p>
    <w:p>
      <w:r>
        <w:t>Bundesstrafgericht, 2026-02-02, DE</w:t>
      </w:r>
    </w:p>
    <w:p>
      <w:r>
        <w:rPr>
          <w:b/>
        </w:rPr>
        <w:t xml:space="preserve">Quelle: </w:t>
      </w:r>
      <w:r>
        <w:t>https://mcp.opencaselaw.ch/entscheid/bstger_RR.2025.158</w:t>
      </w:r>
    </w:p>
    <w:p>
      <w:r>
        <w:t>FR: TPF RR.2025.158 du 2 février 2026</w:t>
      </w:r>
    </w:p>
    <w:p>
      <w:r>
        <w:t>IT: TPF RR.2025.158 del 2 febbraio 2026</w:t>
      </w:r>
    </w:p>
    <w:p>
      <w:pPr>
        <w:pStyle w:val="Heading2"/>
      </w:pPr>
      <w:r>
        <w:t>Regeste</w:t>
      </w:r>
    </w:p>
    <w:p>
      <w:r>
        <w:t>Internationale Rechtshilfe in Strafsachen an die Ukraine; Herausgabe von Beweismitteln (Art. 74 IRSG); unentgeltliche Rechtspflege (Art. 65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es geringere</w:t>
      </w:r>
    </w:p>
    <w:p>
      <w:r>
        <w:t>- 4 -</w:t>
      </w:r>
    </w:p>
    <w:p>
      <w:r>
        <w:t>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2.2</w:t>
      </w:r>
    </w:p>
    <w:p>
      <w:r>
        <w:t>Die Beschwerdeführerin ist als Inhaberin des hier gegenständlichen Kontos gegen die rechtshilfeweise Herausgabe der betreffenden Bankunterlagen beschwerdelegitimiert. Auf die form- und fristgerecht eingereichte Be- schwerde ist einzutreten.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 nigstens kurz die Überlegungen nennt, von denen sie sich leiten liess und auf welche sich ihr Entscheid stützt (BGE 141 IV 249 E. 1.3.1; 139 IV 179</w:t>
      </w:r>
    </w:p>
    <w:p>
      <w:r>
        <w:t>- 5 -</w:t>
      </w:r>
    </w:p>
    <w:p>
      <w:r>
        <w:t>E. 2.2; Urteil des Bundesgerichts 1A.59/2004 vom 16. Juli 2004 E. 5.2 m.w.H.).</w:t>
      </w:r>
    </w:p>
    <w:p>
      <w:r>
        <w:rPr>
          <w:b/>
        </w:rPr>
        <w:t>E. 4.1</w:t>
      </w:r>
    </w:p>
    <w:p>
      <w:r>
        <w:t>Die Beschwerdeführerin bestreitet das Vorliegen eines Zusammenhangs zwischen den von der Herausgabe betroffenen Bankunterlagen und dem in der Ukraine geführten Strafverfahren. Sie bringt vor, die Tätigkeit der I. AG sowie ihre Handlungen als deren Direktorin und Liquidatorin seien aus- schliesslich rechtmässig sowie wirtschaftlich begründet gewesen und stün- den in keinem Zusammenhang zu den im Ersuchen für die Jahre 2019 bis 2020 erwähnten Vorgängen. An diesen Vorgängen sei die Beschwerdefüh- rerin nicht beteiligt gewesen und habe von deren Inhalt erst durch die Unter- lagen aus dem von der Beschwerdegegnerin geführten Rechtshilfeverfahren erfahren. Die Behauptung der NABU, die Beschwerdeführerin habe an der Gründung einer Gesellschaft zum Zweck der Geldwäscherei mitgewirkt, ent- behre jeglicher Grundlage und sei nicht durch Beweismittel gestützt. Sie habe gestützt auf den Vertrag mit D. DMCC vom Oktober 2022 gehandelt, im Rahmen dessen die Gründung der I. AG in der Schweiz vorgesehen ge- wesen sei. Im Jahr 2023 habe die Bank eine Überprüfung der Zahlungsein- gänge auf ihrem Konto durchgeführt und eine Erläuterung zur Herkunft der Mittel verlangt. Sie habe der Bank sämtliche Unterlagen zwecks Nachweises der Herkunft und des Zwecks der Gelder eingereicht. Zu Ziff. 2 ihrer Anträge rügt die Beschwerdeführerin eine Verletzung des Grundsatzes der Verhält- nismässigkeit (act. 1).</w:t>
      </w:r>
    </w:p>
    <w:p>
      <w:r>
        <w:rPr>
          <w:b/>
        </w:rPr>
        <w:t>E. 4.2.1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w:t>
      </w:r>
    </w:p>
    <w:p>
      <w:r>
        <w:t>- 6 -</w:t>
      </w:r>
    </w:p>
    <w:p>
      <w:r>
        <w:t>potenzielle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 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rPr>
          <w:b/>
        </w:rPr>
        <w:t>E. 4.2.2</w:t>
      </w:r>
    </w:p>
    <w:p>
      <w:r>
        <w:t>Die ersuchte Rechtshilfebehörde muss aufzeigen, dass zwischen den von der Rechtshilfe betroffenen Unterlagen und dem Gegenstand der Strafunter- suchung ein ausreichender Sachzusammenhang besteht und 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w:t>
      </w:r>
    </w:p>
    <w:p>
      <w:r>
        <w:t>- 7 -</w:t>
      </w:r>
    </w:p>
    <w:p>
      <w:r>
        <w:t>14 E. 4.3, S. 17; Entscheide des Bundesstrafgerichts RR.2022.15 vom 9. De- zember 2022 E. 3.5.2; RR.2018.269 vom 18. Februar 2019 E. 7.3; RR.2018.234 vom 31. Januar 2019 E. 5.2).</w:t>
      </w:r>
    </w:p>
    <w:p>
      <w:r>
        <w:rPr>
          <w:b/>
        </w:rPr>
        <w:t>E. 4.3</w:t>
      </w:r>
    </w:p>
    <w:p>
      <w:r>
        <w:t>Das Rechtshilfeersuchen vom 18. April 2024 betrifft zahlreiche Beschuldigte, ist sehr umfassend und enthält mehrere Sachverhaltskomplexe. Aus dem Ersuchen ergibt sich insbesondere folgender Sachverhalt (Verfahrensakten, unpaginiert, Rechtshilfeersuchen vom 18. April 2024):</w:t>
      </w:r>
    </w:p>
    <w:p>
      <w:r>
        <w:t>C. habe von Oktober 2019 bis Februar 2022 eine kriminelle Organisation geleitet, die von B. (Vorsitzender des […] der Ukraine) gegründet worden sei. Anfang Oktober 2019 habe B. zusammen mit C. und in Anwesenheit von E. die Struktur, den Aktionsplan und die Verteilung der funktionalen Aufgaben der Mitglieder der kriminellen Organisation entwickelt. Ziel dieser kriminellen Organisation sei es insbesondere gewesen, sich zu Lasten der staatlichen Unternehmen J. AG und K. AG zu bereichern. Die dadurch deliktisch erlang- ten Vermögenswerte seien in der Folge «gewaschen» worden, indem sie insbesondere unter dem Deckmantel von Scheinverträgen auf diverse Kon- ten von Gesellschaften weitertransferiert worden seien. Zu diesem Zweck seien Mitglieder der kriminellen Organisation in Führungspositionen dieser Gesellschaften gebracht worden, um die Kontrolle über deren Geschäftstä- tigkeit zu übernehmen und Rechtsgeschäfte abschliessen zu können, die im Interesse der Mitglieder der Organisation gewesen seien. Um die unrechtmässigen Vorteile aus der Tätigkeit der K. AG zu erlangen, seien mit Wirtschaftsakteuren Verträge zur Verarbeitung von Rohstoffen zu für die K. AG ungünstigen Bedingungen, insbesondere mit unterbewerteten Kosten für Dienstleistungen, abgeschlossen worden. Zu diesem Zweck habe C. im November 2019 F. und G., Mitbegründer der L. GmbH, beigezogen. G. habe familiäre Beziehungen zu C. gehabt und C. sei einer der Begünstig- ten der L. GmbH gewesen. Am 17. Juni 2020 sei ein Vertrag zwischen der J. AG und dem deutschen Unternehmen N. GmbH &amp; Co KG über die Liefe- rung von Ilmenit-Konzentrat kommen. Der vereinbarte Kaufpreis sei zu tief gewesen, wodurch der J. AG ein Verlust von EUR 864'492.90 erwachsen sei. Die N. GmbH &amp; Co KG habe dabei ausschliesslich Vermittlerfunktionen gehabt, die weder erforderlich noch gerechtfertigt gewesen seien. Die N. GmbH &amp; Co KG habe weder vor noch nach Abschluss dieses Vertrages eine Beziehung zur J. AG gehabt. Ferner sei festgestellt worden, dass O. der Direktor der N. GmbH &amp; Co KG gewesen sei und in deren Namen Verträge unterzeichnet habe. O. sei als Mitglied der kriminellen Organisation unter der Leitung von E. in das rechtswidrige Schema involviert gewesen. O. habe sein Unternehmen</w:t>
      </w:r>
    </w:p>
    <w:p>
      <w:r>
        <w:t>- 8 -</w:t>
      </w:r>
    </w:p>
    <w:p>
      <w:r>
        <w:t>N. GmbH &amp; Co KG für das illegale Schema zur Verfügung gestellt und habe in der Zeit von Februar bis September 2021 ca. EUR 478'000.-- von den auf die N. GmbH &amp; Co KG lautenden Konten entnommen und diese möglicher- weise an die Mitglieder der kriminellen Organisation weitergeleitet. Die Gel- der, welche die N. GmbH &amp; Co KG wahrscheinlich auf illegale Weise aus dem rechtswidrigen Schema erhalten habe, seien in Höhe von EUR 264'000.-- im Zeitraum von Oktober 2020 bis Oktober 2021 auf ein auf die Schweizer Beratungsfirma P. AG lautendes Konto überwiesen worden. O. sei unter anderem auf Registrierung, Kauf von Schweizer Unternehmen und Eröffnung von Bankkonten dieser Unternehmen bei Bankinstituten in eu- ropäischen Ländern spezialisiert. Zudem amtiere O. als formeller Direktor dieser Unternehmen und suche wahrscheinlich Personen, die als formelle Direktoren fungieren. O. führe diese Handlungen im Namen und unter dem Deckmantel der P. AG durch, welche Dienstleistungen zur Gründung von Unternehmen, möglicherweise auch für deren Verwendung in illegalen Sche- mata und zur möglichen Geldwäsche anbiete. P. AG erhalte für die Erbrin- gung solcher Dienstleistungen entsprechende Gebühren. O. habe bspw. zwischen Februar und Mai 2021 auf Anfrage der Mitglieder der kriminellen Organisation und der Gründer der L. GmbH (F. und G.) in der Schweiz die M. AG gegründet, die später von F. und G. übernommen worden sei. Auch für die M. AG habe O. Bankkonten in der Schweiz eröffnet. Für seine Dienst- leistung habe O. ungefähr im Mai-Juni 2021 eine Zahlung von ca. CHF 23'000.-- auf die Konten der P. AG erhalten. F. und G. hätten die auf die M. AG lautenden Konten genutzt, um der K. AG Gelder zu entziehen und die auf illegalem Weg erhaltenen Gelder zu legalisieren. Hierzu seien Rechtsgeschäfte zwischen der L. GmbH und den Käufern bezüglich des Ver- kaufs von der K. AG hergestellten Harnstoff und Ammoniak nicht direkt, son- dern über die M. AG geschlossen worden. Solche Rechtsgeschäfte und Fi- nanzoperationen seien durchgeführt worden, um den tatsächlichen Ver- kaufspreis der Düngemittel von der K. AG und den Gewinn der L. GmbH zu verbergen und Gelder, die aus diesem illegalen Schema erhalten worden seien, auf ausländische Konten zu transferieren. Auf diese Weise seien zwi- schen Juli und September 2021 total USD 7'064'918.31 auf das Konto der M. AG von der Q. DMCC und R. corporation als Zahlung für Harnstoff und Ammoniak eingegangen. Ein Teil dieser Gelder in Höhe von EUR 5'291'695.-- sei auf die Konten der L. GmbH überwiesen worden. Auf den Konten der M. AG seien aus dieser Operation mehr als USD 800'000.-- verblieben, die von F. und G. wahrscheinlich «gewaschen» worden seien. Es sei ausserdem festgestellt worden, dass die Beschwerdeführerin für die finanziellen Operationen zur Legalisierung von Geldern verantwortlich gewe- sen sei, welche die L. GmbH auf illegale Weise aus der Tätigkeit der K. AG erhalten habe. Insbesondere sei die Beschwerdeführerin für die Entwicklung</w:t>
      </w:r>
    </w:p>
    <w:p>
      <w:r>
        <w:t>- 9 -</w:t>
      </w:r>
    </w:p>
    <w:p>
      <w:r>
        <w:t>und Umsetzung eines Geldwäscheplans zuständig gewesen, der darin be- standen habe, Gelder von den Konten der L. GmbH auf die Konten von Fi- nanzunternehmen ohne reale Geschäftstätigkeit zu übertragen (durch Nut- zung von diversen Verträgen). Im Laufe der Ermittlungen sei festgestellt wor- den, dass die Beschwerdeführerin im Jahr 2023 in der Schweiz die I. AG gegründet habe. Die Gesellschaft sei wahrscheinlich für C. zur Geldwäsche von unrechtmässigen Vermögenswerten gegründet worden, da das Stamm- kapital in Höhe von CHF 100'000.-- von ihm erbracht worden sei.</w:t>
      </w:r>
    </w:p>
    <w:p>
      <w:r>
        <w:rPr>
          <w:b/>
        </w:rPr>
        <w:t>E. 4.4.1</w:t>
      </w:r>
    </w:p>
    <w:p>
      <w:r>
        <w:t>Die Beschwerdegegnerin legte in der angefochtenen Schlussverfügung den Zusammenhang zwischen den von der Herausgabe betroffenen Bankunter- lagen und dem ausländischen Ersuchen ausführlich dar (act. 1.1, S. 6 ff.). U.a. führte die Beschwerdegegnerin mit Verweis auf die erhobenen Bankun- terlagen aus, dass die Beschwerdeführerin Geschäftsführerin und CEO der I. AG gewesen sei. Die D. DMCC sei ein Shareholder der Gesellschaft I. AG gewesen. Auf das Privatkonto der Beschwerdeführerin seien seitens der D. DMCC acht Zahlungen in der Höhe von total Fr. 81'480.-- eingegangen. Der Zahlungseingang vom 26. Mai 2023 in der Höhe von Fr. 35'000.-- sei mit der Angabe vermerkt worden, dass das Geld für operative Zwecke der I. AG bestimmt sei. Begründet sei die Einzahlung auf das Privatkonto von der Be- schwerdeführerin damit worden, dass die I. AG noch kein eigenes Firmen- konto besitze. Des Weiteren weist die Beschwerdegegnerin auf hohe Bar- geldeinzahlungen (rund Fr. 45'000.--) zugunsten des Kontos der Beschwer- deführerin hin. Die Beschwerdeführerin soll das Bargeld für geschäftliche Zwecke von der I. AG bezogen und auf ihr Privatkonto einbezahlt haben, um Rechnungen für die Gesellschaft zu begleichen. Überdies seien im Sommer Juni 2023 an S. Zahlungen in der Gesamthöhe von Fr. 20'304.70 geleistet worden, mit der Angabe, es handle sich um Lohnzahlungen der I. AG. Zu- dem erging am 27. Juni 2023 eine Zahlung in Höhe von Fr. 17'240.00 an die I. AG. Schliesslich weist die Beschwerdegegnerin auf den Umstand hin, dass die hier gegenständliche Geschäftsbeziehung am 7. März 2024 durch die Bank gekündigt wurde. Dies, nachdem die Bank Erklärungen u.a. zu den vorgängig erwähnten Transaktionen gefordert und eine Geldwäschereimel- dung geprüft hatte.</w:t>
      </w:r>
    </w:p>
    <w:p>
      <w:r>
        <w:rPr>
          <w:b/>
        </w:rPr>
        <w:t>E. 4.4.2</w:t>
      </w:r>
    </w:p>
    <w:p>
      <w:r>
        <w:t>Die Beschwerdeführerin wird laut den Ausführungen im Rechtshilfeersuchen verdächtigt, für die finanziellen Operationen zur Legalisierung von Geldern, welche die L. GmbH auf illegale Weise aus der Tätigkeit der K. AG erhalten haben soll, verantwortlich gewesen zu sein, und die I. AG mutmasslich im Auftrag von C. zwecks Geldwäsche gegründet zu haben. Wie die Beschwer- degegnerin zutreffend ausführt, können die edierten Kontounterlagen zur Klärung beitragen, ob über das betreffende Konto inkriminierte Gelder</w:t>
      </w:r>
    </w:p>
    <w:p>
      <w:r>
        <w:t>- 10 -</w:t>
      </w:r>
    </w:p>
    <w:p>
      <w:r>
        <w:t>geflossen sind und welche Rolle der Beschwerdeführerin und weiteren invol- vierten Personen hinsichtlich der in der Ukraine untersuchten Straftaten zu- kam. Unter Berücksichtigung der aus den Bankunterlagen hervorgehenden Informationen sind die Bankunterlagen potenziell geeignet, mögliche Geld- flüsse im Zusammenhang mit dem im Rechtshilfeersuchen geschilderten Sachverhalt zu rekonstruieren. Im Übrigen sind die Überweisungen auch deshalb als potenziell relevant zu bezeichnen, weil sie Rückschlüsse be- aber auch entlastender Natur über das dem Beschuldigten vorgeworfene Verhalten zu ziehen erlauben. Somit ist ein Zusammenhang zwischen dem auf die Beschwerdeführerin lautenden Konto und dem ausländischen Straf- verfahren zu bejahen.</w:t>
      </w:r>
    </w:p>
    <w:p>
      <w:r>
        <w:rPr>
          <w:b/>
        </w:rPr>
        <w:t>E. 4.4.3</w:t>
      </w:r>
    </w:p>
    <w:p>
      <w:r>
        <w:t>Was die Beschwerdeführerin dagegen einwendet, greift nicht. Zum einen verkennt sie, dass die ersuchende Behörde die Tatvorwürfe im Ersuchen nicht bereits abschliessend mit Beweisen zu belegen hat. Zum anderen hat der Schweizer Rechtshilferichter weder Tat- noch Schuldfragen zu prüfen und grundsätzlich auch keine Beweiswürdigung vorzunehmen. Da dem im vorliegenden Ersuchen wiedergegebenen Sachverhalt keine offensichtli- chen Fehler, Lücken oder Widersprüche zu entnehmen sind, ist er für den Rechtshilferichter grundsätzlich bindend (vgl. BGE 142 IV 250 E. 6.3; 139 II 451 E. 2.2.1; 136 IV 4 E. 4.1; 133 IV 76 E. 2.2; TPF 2011 194 E. 2.1). Wie ausgeführt, entspricht es der Rechtsprechung, dass die Behörden des ersuchenden Staates grundsätzlich alle sichergestellten Aktenstücke zu übermitteln haben, welche sich auf den im Ersuchen dargelegten Verdacht beziehen können (supra E. 4.2.1). Dies gerade dann, wenn das Rechtshil- feersuchen, wie vorliegend, auf die Ermittlung abzielt, auf welchem Weg Geldmittel mutmasslich strafbarer Herkunft verschoben wurden. Deshalb hat auch der Umstand, dass sich in den edierten Bankunterlagen auch solche Transaktionen befinden könnten, die nicht im Zusammenhang mit dem im Ersuchen dargestellten Sachverhalt stehen, nicht zur Folge, dass diese zu anonymisieren wären. Ob und in welchem Umfang die Bankunterlagen und die darin erwähnten Transaktionen in das ausländische Verfahren einflies- sen, ist nicht vom Schweizer Rechtshilferichter zu bestimmen. Der entspre- chende Antrag der Beschwerdeführerin ist abzuweisen.</w:t>
      </w:r>
    </w:p>
    <w:p>
      <w:r>
        <w:rPr>
          <w:b/>
        </w:rPr>
        <w:t>E. 4.4.4</w:t>
      </w:r>
    </w:p>
    <w:p>
      <w:r>
        <w:t>Die edierten Bankunterlagen betreffen den Zeitraum von Januar 2023 bis Mai 2024. Da die ersuchende Behörde insbesondere möglichen Geldwä- schereihandlungen untersucht, die naturgemäss im Anschluss an die Vortat erfolgen, und die im Ersuchen erwähnte I. AG im Jahr 2023 gegründet und im Juni 2024 aufgelöst wurde, erweisen sich diese Unterlagen auch in zeitli- cher Hinsicht als verhältnismässig.</w:t>
      </w:r>
    </w:p>
    <w:p>
      <w:r>
        <w:t>- 11 -</w:t>
      </w:r>
    </w:p>
    <w:p>
      <w:r>
        <w:rPr>
          <w:b/>
        </w:rPr>
        <w:t>E. 4.4.5</w:t>
      </w:r>
    </w:p>
    <w:p>
      <w:r>
        <w:t>Somit ist eine Verletzung des Verhältnismässigkeitsprinzips zu verneinen.</w:t>
      </w:r>
    </w:p>
    <w:p>
      <w:r>
        <w:rPr>
          <w:b/>
        </w:rPr>
        <w:t>E. 4.5</w:t>
      </w:r>
    </w:p>
    <w:p>
      <w:r>
        <w:t>Andere Rechtshilfehindernisse werden nicht genannt und sind auch nicht er- sichtlich.</w:t>
      </w:r>
    </w:p>
    <w:p>
      <w:r>
        <w:rPr>
          <w:b/>
        </w:rPr>
        <w:t>E. 5</w:t>
      </w:r>
    </w:p>
    <w:p>
      <w:r>
        <w:t>Nach dem Gesagten ist die Beschwerde vollumfänglich abzuweisen.</w:t>
      </w:r>
    </w:p>
    <w:p>
      <w:r>
        <w:rPr>
          <w:b/>
        </w:rPr>
        <w:t>E. 6.1</w:t>
      </w:r>
    </w:p>
    <w:p>
      <w:r>
        <w:t>Die Beschwerdeführerin ersucht für das vorliegende Verfahren sinngemäss um unentgeltliche Prozessführung (RP.2025.70, act. 1).</w:t>
      </w:r>
    </w:p>
    <w:p>
      <w:r>
        <w:rPr>
          <w:b/>
        </w:rPr>
        <w:t>E. 6.2</w:t>
      </w:r>
    </w:p>
    <w:p>
      <w:r>
        <w:t>Die Beschwerdekammer befreit eine Partei, die nicht über die erforderlichen Mittel verfügt, auf Antrag von der Bezahlung der Verfahrenskosten, sofern ihr Begehren nicht aussichtslos erscheint (Art. 65 Abs. 1 VwVG). Gemäss der bundesgerichtlichen Rechtsprechung sind Prozessbegehren als aus- sichtslos anzusehen, wenn die Gewinnaussichten beträchtlich geringer er- scheinen als die Verlustgefahren. Dagegen gilt ein Begehren nicht als aus- sichtslos, wenn sich Gewinnaussichten und Verlustgefahren ungefähr die Waage halten oder jene nur wenig geringer sind als diese (BGE 142 III 138 E. 5.1 S. 139 f.; 140 V 521 E. 9.1).</w:t>
      </w:r>
    </w:p>
    <w:p>
      <w:r>
        <w:rPr>
          <w:b/>
        </w:rPr>
        <w:t>E. 6.3</w:t>
      </w:r>
    </w:p>
    <w:p>
      <w:r>
        <w:t>Die vorliegende Beschwerde ist angesichts des oben Ausgeführten als aus- sichtslos im Sinne von Art. 65 Abs. 1 VwVG anzusehen, weshalb das Ge- such um unentgeltliche Prozessführung ungeachtet der finanziellen Situation der Beschwerdeführerin abzuweisen ist.</w:t>
      </w:r>
    </w:p>
    <w:p>
      <w:r>
        <w:rPr>
          <w:b/>
        </w:rPr>
        <w:t>E. 6.4</w:t>
      </w:r>
    </w:p>
    <w:p>
      <w:r>
        <w:t>Bei diesem Ausgang des Verfahrens sind die Gerichtskosten der Beschwer- deführerin aufzuerlegen (Art. 63 Abs. 1 VwVG). Die Gerichtsgebühr ist auf Fr. 5'000.-- festzusetzen (Art. 63 Abs. 5 VwVG i.V.m.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