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RR.2025.141 vom 12. Dezember 2025</w:t>
      </w:r>
    </w:p>
    <w:p>
      <w:r>
        <w:t>Bundesstrafgericht, 2025-12-12, IT</w:t>
      </w:r>
    </w:p>
    <w:p>
      <w:r>
        <w:rPr>
          <w:b/>
        </w:rPr>
        <w:t xml:space="preserve">Quelle: </w:t>
      </w:r>
      <w:r>
        <w:t>https://mcp.opencaselaw.ch/entscheid/bstger_RR.2025.141</w:t>
      </w:r>
    </w:p>
    <w:p>
      <w:r>
        <w:t>FR: TPF RR.2025.141 du 12 décembre 2025</w:t>
      </w:r>
    </w:p>
    <w:p>
      <w:r>
        <w:t>IT: TPF RR.2025.141 del 12 dicembre 2025</w:t>
      </w:r>
    </w:p>
    <w:p>
      <w:pPr>
        <w:pStyle w:val="Heading2"/>
      </w:pPr>
      <w:r>
        <w:t>Regeste</w:t>
      </w:r>
    </w:p>
    <w:p>
      <w:r>
        <w:t>Assistenza giudiziaria internazionale in materia penale alla Francia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Francese e la Confederazione Svizzera sono anzitutto retti dalla Convenzione europea di assistenza giudiziaria in materia penale del 20 aprile 1959, entrata in vigore il 20 marzo 1967 per la Svizzera ed il 21 agosto dello stesso anno per la Francia (CEAG; RS 0.351.1), dal Secondo Protocollo addizionale alla CEAG, entrato in vigore per la Svizzera il 1° febbraio 2005 e per la Francia il 1° giugno 2012 (RS 0.351.12), dall'Accordo franco-svizzero del 28 ottobre 1996 che completa la CEAG (RS 0.351.934.92), entrato in vigore il 1° maggio 2000 (in seguito: l'Ac- cordo bilaterale), nonché dagli art. 48 e segg. della Convenzione di applicazione dell'Accordo di Schengen del 14 giugno 1985 (CAS; n. CELEX 42000A0922[02]; Gazzetta ufficiale dell'Unione europea L 239 del 22 settembre 2000, pag. 19-62; non pubblicata nella RS ma consultabile sulla piattaforma di pubblicazione Internet della Confederazione alla voce “Raccolta dei testi</w:t>
      </w:r>
    </w:p>
    <w:p>
      <w:r>
        <w:t>- 4 -</w:t>
      </w:r>
    </w:p>
    <w:p>
      <w:r>
        <w:t>giuridici riguardanti gli accordi settoriali con l’UE”, 8.1 Allegato A; v. anche sen- tenza del Tribunale penale federale RR.2008.98 del 18 dicembre 2008 consid. 1.3). Di rilievo nella fattispecie è anche la Convenzione sul riciclaggio, la ricerca, il sequestro e la confisca dei proventi di reato, conclusa a Strasburgo l’8 novem- bre 1990, entrata in vigore il 1° settembre 1993 per la Svizzera ed il 1° febbraio 1997 per la Francia (CRic; RS 0.311.53), nonché la Convenzione delle Nazioni Unite contro la corruzione del 31 ottobre 2003 (UNCAC; RS 0.311.56), entrata in vigore per la Svizzera il 24 ottobre 2009 e per la Francia il 14 dicembre 2005.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DTF 145 IV 294 consid. 2.1; 142 IV 250 consid. 3; 140 IV 123 consid. 2; 137 IV 33 consid. 2.2.2; 136 IV 82 consid. 3.1). Il principio di favore vale anche nell'applicazione delle pertinenti norme di diritto internazionale (v. art. 48 n. 2 CAS,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1.5</w:t>
      </w:r>
    </w:p>
    <w:p>
      <w:r>
        <w:t>Interposto tempestivamente contro la sopraccitata decisione di chiusura,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rPr>
          <w:b/>
        </w:rPr>
        <w:t>E. 2</w:t>
      </w:r>
    </w:p>
    <w:p>
      <w:r>
        <w:t>La ricorrente sostiene innanzitutto che la commissione rogatoria non sia con- forme alle prescrizioni di forma applicabili in materia. Più precisamente, ogni persona nella tabella denominata “personnes visées par l’enquête” sarebbe stata indicata “senza specificare il ruolo preciso di ogni persona fisica e giuridica nella procedura francese, la quale è già in corso e avrebbe dunque permesso la designazione precisa. In questo modo, la valutazione di una eventuale</w:t>
      </w:r>
    </w:p>
    <w:p>
      <w:r>
        <w:t>- 5 -</w:t>
      </w:r>
    </w:p>
    <w:p>
      <w:r>
        <w:t>proporzionalità della richiesta e dei motivi di rifiuto non è possibile. Questo re- quisito è parte delle condizioni di base a cui deve sottostare una richiesta roga- toriale” (act. 1, pag. 6).</w:t>
      </w:r>
    </w:p>
    <w:p>
      <w:r>
        <w:rPr>
          <w:b/>
        </w:rPr>
        <w:t>E. 2.1</w:t>
      </w:r>
    </w:p>
    <w:p>
      <w:r>
        <w:t>Per quanto attiene alla domanda di assistenza, gli art. 27 CRic,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 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 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2.2</w:t>
      </w:r>
    </w:p>
    <w:p>
      <w:r>
        <w:t>In concreto, nella rogatoria vengono indicate svariate operazioni che avrebbero permesso agli indagati di trasferire valori patrimoniali legati agli atti corruttivi oggetto dell’inchiesta estera. In essa si menzionano svariati trasferimenti di de- naro sospetti, legati a compravendite di beni immobiliari in Francia, che avreb- bero coinvolto, tra gli altri, C., G. e la società ricorrente (v. atto 01-00-0004 e segg. incarto MPC), precisato che G. è altresì l’avente diritto economico del conto litigioso (v. atto 006428_00005 incarto MPC). Vi sarebbe in particolare un’operazione, ripresa dal MPC in sede di risposta, avvenuta nel 2017 riguar- dante “l’acquisto effettuato dalla società D. nel corso del 2017, e meglio un im- mobile per EUR 20.3 milioni. La società è riconducibile ai coniugi G. Una parte del prezzo d’acquisto proveniva da una relazione bancaria intestata alla società D. presso la banca F. a FL-Vaduz, la quale è stata alimentata da una relazione bancaria intestata alla società A. SA con IBAN n° 1 presso la banca F. Quest’ul- tima società era probabilmente riconducibile a persone vicine ai coniugi G.” (act. 9, pag. 3). Quanto precede è senz’altro sufficiente per comprendere l’og- getto del procedimento estero, in particolare il ruolo contestato alla società ri- corrente, e per verificare l’adempimento delle condizioni formali e materiali per la concessione dell’assistenza. Contrariamente a quanto sostenuto nel gra- vame, ulteriori precisazioni non sono necessarie per ossequiare i requisiti posti</w:t>
      </w:r>
    </w:p>
    <w:p>
      <w:r>
        <w:t>- 6 -</w:t>
      </w:r>
    </w:p>
    <w:p>
      <w:r>
        <w:t>dal diritto convenzionale e nazionale applicabile e dalla relativa giurisprudenza. Tutte le censure in questo ambito vanno dunque respinte.</w:t>
      </w:r>
    </w:p>
    <w:p>
      <w:r>
        <w:rPr>
          <w:b/>
        </w:rPr>
        <w:t>E. 3</w:t>
      </w:r>
    </w:p>
    <w:p>
      <w:r>
        <w:t>L’insorgente afferma che “nella misura in cui non vi è alcuna competenza da parte delle autorità francesi nei confronti della parte ricorrente per agire nel me- rito del procedimento penale contro A. SA, poiché quest’ultima, come risulta dalla richiesta francese, non disponeva di alcun bene in Francia, e poiché nes- suna attività è stata esercitata in Francia né alcun fondo è stato versato in Fran- cia, la commissione rogatoria francese non è ricevibile, dal momento che la competenza ad agire dell’autorità richiedente costituisce una condizione di am- missibilità della domanda” (act. 1, pag. 7 e seg.).</w:t>
      </w:r>
    </w:p>
    <w:p>
      <w:r>
        <w:rPr>
          <w:b/>
        </w:rPr>
        <w:t>E. 3.1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 ZIMMERMANN, La coopération judiciaire internationale en matière pénale, 6a ediz. 2024, n. 686).</w:t>
      </w:r>
    </w:p>
    <w:p>
      <w:r>
        <w:rPr>
          <w:b/>
        </w:rPr>
        <w:t>E. 3.2</w:t>
      </w:r>
    </w:p>
    <w:p>
      <w:r>
        <w:t>Ora, nella misura in cui le autorità penali francesi sospettano che beni immobi- liari situati in Francia potrebbero essere stati acquistati mediante valori patrimo- niali provenienti dalla corruzione all’estero, la giurisdizione francese è da rite- nersi data sia alla luce della dogmatica dei reati in esame, sia in applicazione dei criteri riconosciuti dal diritto penale internazionale, e più precisamente alla luce del principio di territorialità (v. AMBOS, Internationales Strafrecht, 5a ediz. 2018, pag. 29 e segg.; PRADEL, Droit pénal général, 21a ediz. 2016, pag. 176 e seg.; GLESS, Internationales Strafrecht, 3a ediz. 2021, n. 135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4</w:t>
      </w:r>
    </w:p>
    <w:p>
      <w:r>
        <w:t>La ricorrente censura la violazione del principio della proporzionalità, nella mi- sura in cui essa non avrebbe nessun coinvolgimento diretto, né con le persone indagate, né con la fattispecie in quanto tale. La rogatoria costituirebbe a suo avviso una fishing expedition.</w:t>
      </w:r>
    </w:p>
    <w:p>
      <w:r>
        <w:rPr>
          <w:b/>
        </w:rPr>
        <w:t>E. 4.1</w:t>
      </w:r>
    </w:p>
    <w:p>
      <w:r>
        <w:t>Il principio della proporzionalità esige che vi sia una connessione fra la docu- mentazione richiesta e il procedimento estero (DTF 139 II 404 consid. 7.2.2; 136 IV 82 consid. 4.1/4.4; 130 II 193 consid. 4.3; 129 II 462 consid. 5.3; 122 II</w:t>
      </w:r>
    </w:p>
    <w:p>
      <w:r>
        <w:t>- 7 -</w:t>
      </w:r>
    </w:p>
    <w:p>
      <w:r>
        <w:t>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permette altresì di evitare che l’autorità estera sia se del caso costretta a ricorrere all’inoltro di rogatorie complementari (DTF 136 IV 82 consid. 4.1; 121 II 241 consid. 3; sentenza del Tribunale</w:t>
      </w:r>
    </w:p>
    <w:p>
      <w:r>
        <w:t>- 8 -</w:t>
      </w:r>
    </w:p>
    <w:p>
      <w:r>
        <w:t>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 presi quelli di cui l'autorità estera non sospetta neppure l'esistenza. Non si tratta soltanto di aiutare lo Stato richiedente a provare i fatti già emersi, ma di svelarne altri, se ne esistono. Ne deriva, per l'autorità d'esecuzione, un dovere di esau- stività che giustifica la comunicazione di tutti gli elementi da essa raccolti e po- tenzialmente idonei alle indagini estere, al fine di chiarire in tutti i suoi aspetti i meccanismi delittuosi sotto la lente degli inquirenti esteri (sentenze del Tribu- nale penale federale RR.2010.173 del 13 ottobre 2010 consid. 4.2.4/a e RR.2009.320 del 2 febbraio 2010 consid. 4.1). Vietata è per contro la cosiddetta fishing expedition, la quale è definita dalla giurisprudenza una ricerca generale e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l’utilità potenziale della documentazione litigiosa è certamente data, già solo per il fatto che la ricorrente e l’avente diritto economico della relazione litigiosa sono personalmente indagati all’estero (entrambi sono “personnes vi- sées par l’enquête” [atto 01-00-0003 e seg. incarto MPC]), per cui è ovvio che gli inquirenti necessitino di tutte le informazioni necessarie per ricostruire l’intero quadro delle movimentazioni finanziarie che li riguardano. La rogatoria ha del resto descritto svariate operazioni di compravendita di immobili e di trasferi- mento di denaro oggetto delle indagini francesi, mettendo in evidenza il coin- volgimento diretto e/o indiretto di entrambi (v. supra consid. 2.2). Come previsto dalla giurisprudenza (v. supra consid. 4.1), vista la natura dei reati ipotizzati, tutta la documentazione litigiosa va trasmessa alle autorità francesi, affinché queste possano ricostruire tutti i flussi di denaro di potenziale origine criminale, non potendo altresì escludere che anche altre persone fisiche e/o giuridiche ancora sconosciute agli inquirenti esteri possano risultare coinvolte nella vi- cenda. Non vi è dunque ragione di limitare l’invio della documentazione nem- meno nei termini proposti nelle conclusioni subordinate.</w:t>
      </w:r>
    </w:p>
    <w:p>
      <w:r>
        <w:t>- 9 -</w:t>
      </w:r>
    </w:p>
    <w:p>
      <w:r>
        <w:t>Spetterà comunque al giudice estero del merito valutare se dalla documenta- zione inoltrata emerge in concreto una connessione penalmente rilevante fra i fatti oggetto della procedura penale in Francia e la stessa documentazione. In definitiva, la trasmissione di quest'ultima rispetta il principio della proporzionalità e non costituisce una ricerca indiscriminata di mezzi di prova.</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