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RR.2025.137 vom 29. Oktober 2025</w:t>
      </w:r>
    </w:p>
    <w:p>
      <w:r>
        <w:t>Bundesstrafgericht, 2025-10-29, DE</w:t>
      </w:r>
    </w:p>
    <w:p>
      <w:r>
        <w:rPr>
          <w:b/>
        </w:rPr>
        <w:t xml:space="preserve">Quelle: </w:t>
      </w:r>
      <w:r>
        <w:t>https://mcp.opencaselaw.ch/entscheid/bstger_RR.2025.137</w:t>
      </w:r>
    </w:p>
    <w:p>
      <w:r>
        <w:t>FR: TPF RR.2025.137 du 29 octobre 2025</w:t>
      </w:r>
    </w:p>
    <w:p>
      <w:r>
        <w:t>IT: TPF RR.2025.137 del 29 ottobre 2025</w:t>
      </w:r>
    </w:p>
    <w:p>
      <w:pPr>
        <w:pStyle w:val="Heading2"/>
      </w:pPr>
      <w:r>
        <w:t>Regeste</w:t>
      </w:r>
    </w:p>
    <w:p>
      <w:r>
        <w:t>Auslieferung an Griechenland; Auslieferungsentscheid (Art. 55 IRSG); unentgeltliche Rechtspflege (Art. 65 VwVG)</w:t>
      </w:r>
    </w:p>
    <w:p>
      <w:pPr>
        <w:pStyle w:val="Heading2"/>
      </w:pPr>
      <w:r>
        <w:t>Erwägungen</w:t>
      </w:r>
    </w:p>
    <w:p>
      <w:r>
        <w:rPr>
          <w:b/>
        </w:rPr>
        <w:t>E. 1.1</w:t>
      </w:r>
    </w:p>
    <w:p>
      <w:r>
        <w:t>Für den Auslieferungsverkehr zwischen der Schweiz und Griechenland ist primär das Europäische Auslieferungsübereinkommen vom 13. Dezember 1957 (EAUe; SR 0.353.1) anwendbar, dem beide Staaten beigetreten sind.</w:t>
      </w:r>
    </w:p>
    <w:p>
      <w:r>
        <w:rPr>
          <w:b/>
        </w:rPr>
        <w:t>E. 1.2</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https://www.fedlex.admin.ch/de/sector-specific- agreements/EU-acts-register/8) i.V.m. der Verordnung (EU) 2018/1862 des Europäischen Parlaments und des Rates vom 28. November 2018 über die Einrichtung, den Betrieb und die Nutzung des Schengener Informationssys- tems (SIS) im Bereich der polizeilichen Zusammenarbeit und der justiziellen Zusammenarbeit in Strafsachen, zur Änderung und Aufhebung des Be- schlusses 2007/533/JI des Rates und zur Aufhebung der Verordnung (EG) Nr. 1986/2006 des Europäischen Parlaments und des Rates und des Be- schlusses 2010/261/EU der Kommission, namentlich Art. 26–31 (CELEX-Nr. 32018R1862; Abl. L 312 vom 7. Dezember 2018, S. 56– 106; abrufbar unter «Rechtssammlung zu den sektoriellen Abkommen mit der EU», 8.4 Weiter- entwicklungen des Schengen-Besitzstands), sowie diejenigen Bestimmun- gen des Übereinkommens vom 27. September 1996 über die Auslieferung zwischen den Mitgliedstaaten der Europäischen Union (EU-Auslieferungs- 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 stands darstellen (d.h. die Art. 2, 6, 8, 9 und 13 des EU-Auslieferungs- übereinkommens sowie dessen Art. 1, soweit er für die anderen Artikel rele- vant ist). Die zwischen den Vertragsparteien geltenden weitergehenden Bestimmungen aufgrund bilateraler oder multilateraler Abkommen bleiben unberührt (Art. 59 Abs. 2 SDÜ; Art. 1 Abs. 2 EU-Auslieferungsübereinkom- men).</w:t>
      </w:r>
    </w:p>
    <w:p>
      <w:r>
        <w:rPr>
          <w:b/>
        </w:rPr>
        <w:t>E. 1.3</w:t>
      </w:r>
    </w:p>
    <w:p>
      <w:r>
        <w:t>Soweit diese Staatsverträge bestimmte Fragen nicht abschliessend regeln, finden das Bundesgesetz vom 20. März 1981 (Rechtshilfegesetz, IRSG;</w:t>
      </w:r>
    </w:p>
    <w:p>
      <w:r>
        <w:t>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149 IV 376 E. 2.1; 148 IV 314 E. 2.1; 147 II 432 E. 3.1; 145 IV 294 E. 2.1; jeweils m.w.H.). Vorbehalten bleibt die Wahrung der Menschenrechte (BGE 145 IV 294 E. 2.1; 123 II 595 E. 7c; TPF 2020 64 E. 1.1).</w:t>
      </w:r>
    </w:p>
    <w:p>
      <w:r>
        <w:rPr>
          <w:b/>
        </w:rPr>
        <w:t>E. 1.4</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rPr>
          <w:b/>
        </w:rPr>
        <w:t>E. 2.2</w:t>
      </w:r>
    </w:p>
    <w:p>
      <w:r>
        <w:t>Der Auslieferungsentscheid vom 28. August 2025 wurde dem Vertreter des Beschwerdeführers am 29. August 2025 zugestellt (act. 2.2). Die am 17. September 2025 erhobene Beschwerde erweist sich als fristgerecht. Die übrigen Eintretensvoraussetzungen geben keinen Anlass zu Bemerkungen. Auf die Beschwerde ist einzutreten.</w:t>
      </w:r>
    </w:p>
    <w:p>
      <w:r>
        <w:rPr>
          <w:b/>
        </w:rPr>
        <w:t>E. 3</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4.1</w:t>
      </w:r>
    </w:p>
    <w:p>
      <w:r>
        <w:t>Gegen den angefochtenen Auslieferungsentscheid erhebt der Beschwerde- führer folgende Einwendungen (act. 1 S. 2 f.): Die ihm vorgeworfenen Handlungen würden aus dem Jahre 2008 und 2009 stammen und seien daher gemäss Schweizer Recht nach 15 Jahren verjährt.</w:t>
      </w:r>
    </w:p>
    <w:p>
      <w:r>
        <w:t>Gestützt auf Art. 10 EAUe sei seine Auslieferung ausgeschlossen, da die Strafverfolgung oder Vollstreckung nach Schweizer Recht verjährt sei. Die griechischen Urteile aus dem Jahre 2008 und 2012 seien in seiner Ab- wesenheit gefällt worden. Er sei bei den Verfahren nicht anwesend gewesen, er habe keinen Verteidiger gehabt und sei nicht ordnungsgemäss vorgela- den worden. Zustellungen an den Bürgermeister würden keine persönliche Kenntnisnahme darstellen. Ein faires Verfahren im Sinne von Art. 6 EMRK sei nicht gewährleistet gewesen. Die griechischen Behörden würden die Vollstreckung von Strafen verlangen, die er bereits vollständig verbüsst habe. Das entspräche einer Doppelbestra- fung.</w:t>
      </w:r>
    </w:p>
    <w:p>
      <w:r>
        <w:rPr>
          <w:b/>
        </w:rPr>
        <w:t>E. 4.2</w:t>
      </w:r>
    </w:p>
    <w:p>
      <w:r>
        <w:t>Alle vorstehenden Einwendungen hat Rechtsanwalt B. für den Beschwerde- führer mit ausführlicher Begründung bereits im Auslieferungsverfahren ge- genüber dem Beschwerdegegner vorgetragen (s. insbesondere act. 5.19 und act. 5.28). Damit hat sich in der Folge der Beschwerdegegner im Einzel- nen im angefochtenen Auslieferungsentscheid auseinandergesetzt. So ver- wies der Beschwerdegegner zurecht auf Art. 8 EU-Auslieferungsüberein- kommen, weshalb die Verjährung nach Schweizer Recht vorliegend nicht zu prüfen sei (act. 2.1 Erwägung 4.3). Er erläuterte weiter, weshalb nicht nach- vollziehbar sei, dass der Beschwerdeführer die ausgefällten Freiheitsstrafen bereits vollständig verbüsst habe (act. 2.1 Erwägung 6.3). Er erklärte auch, weshalb in casu von einer korrekten Berechnung durch die griechischen Be- hörden der noch zu verbüssenden Restfreiheitsstrafe auszugehen sei, und wies zurecht auf den Grundsatz von Treu und Glauben zwischen Staaten hin (BGE 121 IV 181 E. 2c/aa; 117 Ib 337 E. 2a; 1A.199/2001 vom 21. Januar 2002 E. 3.2; Entscheid des Bundesstrafgerichts RR.2013.209 vom 14. März 2014 E. 2.1.1; zum völkerrechtlichen Vertrauensprinzip hinsichtlich der in ei- nem Rechtshilfe- und Auslieferungsersuchen gemachten Angaben: Urteil des Bundesgerichts 1A.122/2003 vom 25. August 2023 E. 3.2; Entscheid des Bundesstrafgerichts RR.2019.168 vom 22. August 2019 E. 7.2; s. auch Art. 26 des Wiener Übereinkommens vom 23. Mai 1969 über das Recht der Verträge [VRK; SR 0.111] zur Pflicht von Vertragsstaaten, den Vertrag nach Treu und Glauben zu erfüllen). Er hat sodann ausreichend insbesondere die Frage der An- bzw. Abwesenheit des Beschwerdeführers und der Einhaltung der Mindestrechte der Verteidigung in den fraglichen Strafverfahren unter- sucht (act. 2.1, Erwägungen 6). Namentlich erläuterte er Art. 6 Ziff. 1 EMRK, Art. 14 UNO Pakt II und Art. 29 Abs. 2 BV, welche einem in Abwesenheit Verurteilten kein bedingungsloses Recht auf eine Neubeurteilung gewähren. Ebenso führte er zutreffend aus, dass nach der Rechtsprechung die minima- len Verteidigungsrechte des abwesenden Angeklagten im Sinne von Art. 3 ZP II gewahrt sind, wenn dieser an der Gerichtsverhandlung durch einen frei</w:t>
      </w:r>
    </w:p>
    <w:p>
      <w:r>
        <w:t>gewählten Verteidiger vertreten wurde, der sich an der Verhandlung beteili- gen und Anträge stellen konnte, bzw. der für den in Abwesenheit Verurteilte gegen das Abwesenheitsurteil bei einer Rechtsmittelinstanz, welche in tat- sächlicher und rechtlicher Hinsicht über eine umfassende Kognition verfügt, ein Rechtsmittel erheben konnte und in diesem Verfahren die Mindestrechte der Verteidigung gewahrt wurden. Der Beschwerdegegner hat die Argu- mente unter Hinweis auf die massgebliche Rechtsgrundlage und Rechtspre- chung mit nachvollziehbarer Begründung Punkt für Punkt verworfen. Den Schlussfolgerungen des Beschwerdegegners, wonach der Beschwerdefüh- rer nichts vorgebracht hat, was Zweifel an den Darstellungen der ersuchen- den Behörde wecken könnte, ist beizupflichten. Die ausführlichen Erwägun- gen des Beschwerdegegners erweisen sich als zutreffend auch in Bezug auf den fehlenden Alibibeweis und auf die Unzuständigkeit des Rechtshilfege- richts für Schuld- und Tatfragen (BGE 133 IV 76 E. 2.2 S. 79; 132 II 81 E. 2.1 S. 83 f.; Urteile des Bundesgerichts 1C_166/2015 vom 26. März 2025 E. 1.3; 1C_205/2007 vom 18. Dezember 2007 E. 3.2; 1A.297/2005 vom 13. Januar 2006 E. 2.3 und 3.5, je m.w.H.), weshalb, um unnötige Wiederholungen zu vermeiden, vollumfänglich darauf verwiesen werden kann. Den vorinstanzli- chen Ausführungen hält der Beschwerdeführer im Beschwerdeverfahren denn auch nichts entgegen, sondern er beschränkt sich darauf, seine bereits verworfenen Argumente zu wiederholen. Nach dem Gesagten steht fest, dass sich alle Rügen als unbegründet erweisen. Andere Gründe, welche ei- ner Auslieferung entgegenstehen könnten, sind weder ersichtlich noch wer- den solche geltend gemacht. Die Beschwerde ist abzuweisen.</w:t>
      </w:r>
    </w:p>
    <w:p>
      <w:r>
        <w:rPr>
          <w:b/>
        </w:rPr>
        <w:t>E. 5.1</w:t>
      </w:r>
    </w:p>
    <w:p>
      <w:r>
        <w:t>Der Beschwerdeführer ersucht um unentgeltliche Rechtspflege und Bestel- lung von Rechtsanwalt C. als unentgeltlichen Rechtsvertreter (RP.2025.55, act. 1 ff.). Zur Begründung gibt er an, Rechtsanwalt B. wolle ihn im Be- schwerdeverfahren nicht (als unentgeltlicher Rechtsvertreter) vertreten und er habe keine finanziellen Mittel (RP.2025.55, act. 6.1 S.2).</w:t>
      </w:r>
    </w:p>
    <w:p>
      <w:r>
        <w:rPr>
          <w:b/>
        </w:rPr>
        <w:t>E. 5.2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139 III 475 E. 2.2 S. 476).</w:t>
      </w:r>
    </w:p>
    <w:p>
      <w:r>
        <w:rPr>
          <w:b/>
        </w:rPr>
        <w:t>E. 5.3</w:t>
      </w:r>
    </w:p>
    <w:p>
      <w:r>
        <w:t>Die im vorliegenden Beschwerdeverfahren erhobenen Rügen entsprechen den bereits im erstinstanzlichen Verfahren vorgebrachten (s. supra E. 4.2) und vom Beschwerdegegner unter Hinweis auf die massgebliche Rechts- grundlage und Rechtsprechung verworfenen Argumenten. Sie erweisen sich als offensichtlich unbegründet. Anhand des Ausgeführten muss die vorlie- gende Beschwerde als aussichtslos im Sinne von Art. 65 Abs. 1 VwVG be- zeichnet werden. Demzufolge ist das Gesuch des Beschwerdeführers um unentgeltliche Prozessführung und Rechtsvertretung bereits aus diesem Grund abzuweisen.</w:t>
      </w:r>
    </w:p>
    <w:p>
      <w:r>
        <w:rPr>
          <w:b/>
        </w:rPr>
        <w:t>E. 6</w:t>
      </w:r>
    </w:p>
    <w:p>
      <w:r>
        <w:t>Bei diesem Ausgang des Verfahrens sind die Gerichtskosten dem Be- schwerdeführer aufzuerlegen (Art. 63 Abs. 1 VwVG). Unter Berücksichtigung aller Umstände ist die Gerichtsgebühr vorliegend auf Fr. 1‘000.-- festzuset- zen (vgl. Art. 63 Abs. 5 VwVG i.V.m. Art. 73 StBOG sowie Art. 5 und 8 Abs. 3 lit. a BStKR).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