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RR.2025.135 vom 4. Dezember 2025</w:t>
      </w:r>
    </w:p>
    <w:p>
      <w:r>
        <w:t>Bundesstrafgericht, 2025-12-04, IT</w:t>
      </w:r>
    </w:p>
    <w:p>
      <w:r>
        <w:rPr>
          <w:b/>
        </w:rPr>
        <w:t xml:space="preserve">Quelle: </w:t>
      </w:r>
      <w:r>
        <w:t>https://mcp.opencaselaw.ch/entscheid/bstger_RR.2025.135</w:t>
      </w:r>
    </w:p>
    <w:p>
      <w:r>
        <w:t>FR: TPF RR.2025.135 du 4 décembre 2025</w:t>
      </w:r>
    </w:p>
    <w:p>
      <w:r>
        <w:t>IT: TPF RR.2025.135 del 4 dicembre 2025</w:t>
      </w:r>
    </w:p>
    <w:p>
      <w:pPr>
        <w:pStyle w:val="Heading2"/>
      </w:pPr>
      <w:r>
        <w:t>Regeste</w:t>
      </w:r>
    </w:p>
    <w:p>
      <w:r>
        <w:t>Assistenza giudiziaria internazionale in materia penale alla Città del Vaticano; Consegna a scopo di confisca (art. 74a AIMP)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La Corte dei reclami penali del Tribunale penale federale giudica i ricorsi contro le decisioni di prima istanza delle autorità cantonali o federali in materia di assi- stenza giudiziaria internazionale, salvo che la legge disponga altrimenti (art. 25 cpv. 1 legge federale sull’assistenza internazionale in materia penale [AIMP; RS 351.1] del 20 marzo 1981, unitamente ad art. 37 cpv. 2 lett. a legge federale sull’organizzazione delle autorità penali della Confederazione [LOAP; RS 173.71] del 19 marzo 2010).</w:t>
      </w:r>
    </w:p>
    <w:p>
      <w:r>
        <w:rPr>
          <w:b/>
        </w:rPr>
        <w:t>E. 1.2</w:t>
      </w:r>
    </w:p>
    <w:p>
      <w:r>
        <w:t>In assenza di trattati internazionali, ai rapporti di assistenza giudiziaria interna- zionale in materia penale tra la Città del Vaticano e la Svizzera si applica la legge federale sull'assistenza internazionale in materia penale del 20 marzo 1981 (AIMP; RS 351.1), unitamente alla relativa ordinanza (OAIMP; RS 351.11; v. art. 1 cpv. 1 lett. b AIMP).</w:t>
      </w:r>
    </w:p>
    <w:p>
      <w:r>
        <w:rPr>
          <w:b/>
        </w:rPr>
        <w:t>E. 1.3</w:t>
      </w:r>
    </w:p>
    <w:p>
      <w:r>
        <w:t>Salvo diversa disposizione dell’AIMP, la procedura di ricorso è retta dalla legge federale sulla procedura amministrativa del 20 dicembre 1968 (PA; RS 172.021;</w:t>
      </w:r>
    </w:p>
    <w:p>
      <w:r>
        <w:t>- 4 -</w:t>
      </w:r>
    </w:p>
    <w:p>
      <w:r>
        <w:t>v. art. 39 cpv. 2 lett. b LOAP e 12 cpv. 1 AIMP; DANGUBIC/KESHELAVA, Com- mentario basilese, Internationales Strafrecht, 2015, n. 1 e segg. ad art. 12 AIMP); per gli atti procedurali, vige il diritto procedurale determinante in materia penale, segnatamente il CPP (v. art. 12 cpv. 1 seconda frase AIMP e art. 54 CPP).</w:t>
      </w:r>
    </w:p>
    <w:p>
      <w:r>
        <w:rPr>
          <w:b/>
        </w:rPr>
        <w:t>E. 2.1</w:t>
      </w:r>
    </w:p>
    <w:p>
      <w:r>
        <w:t>L’art. 58 PA prevede che l'autorità inferiore può, fino all'invio della sua risposta, riesaminare la decisione impugnata (cpv. 1). Essa notifica immediatamente una nuova decisione alle parti e la comunica all'autorità di ricorso (cpv. 2). Quest'ul- tima continua la trattazione del ricorso in quanto non sia divenuto senza oggetto per effetto di una nuova decisione (cpv. 3). In merito all'interpretazione di tale disposizione, dottrina e giurisprudenza precisano che il riesame di una deci- sione può avvenire sino alla scadenza dell'ultimo termine entro il quale l'autorità inferiore è stata invitata a prendere posizione (v. PFLEIDERER, in Wald- mann/Weissenberger [ed.], Praxiskommentar Verwaltungsverfahrensgesetz, 3a ediz. 2023, n. 24 ad art. 58 PA e referenze citate).</w:t>
      </w:r>
    </w:p>
    <w:p>
      <w:r>
        <w:rPr>
          <w:b/>
        </w:rPr>
        <w:t>E. 2.2</w:t>
      </w:r>
    </w:p>
    <w:p>
      <w:r>
        <w:t>In concreto, con scritto del 24 ottobre 2025, il MPC ha revocato la decisione del 12 agosto 2025 impugnata dai ricorrenti. Tale revoca è intervenuta in tempo utile, ovvero entro il termine (prorogato) assegnato all’autorità da questa Corte per prendere posizione. Ciò constatato, il presente gravame è divenuto privo d’oggetto e la causa va quindi stralciata dal ruolo.</w:t>
      </w:r>
    </w:p>
    <w:p>
      <w:r>
        <w:rPr>
          <w:b/>
        </w:rPr>
        <w:t>E. 3.1</w:t>
      </w:r>
    </w:p>
    <w:p>
      <w:r>
        <w:t>Le spese seguono la soccombenza (v. art. 63 cpv. 1 della legge federale sulla procedura amministrativa del 20 dicembre 1968 [PA; RS 172.021] richiamato l'art. 39 cpv. 2 lett. b LOAP). A seguito della revoca di cui sopra, da interpretarsi quale acquiescenza, il MPC è da considerarsi parte soccombente (v. BOVAY, Procédure administrative, 2a ediz. 2015, pag. 644 e seg.). Allo stesso non pos- sono tuttavia essere addossate le spese processuali, motivo per cui si rinuncia al prelievo delle stesse (art. 63 cpv. 2 PA richiamato l'art. 39 cpv. 2 lett. b LOAP). La cassa del Tribunale penale federale restituirà ai ricorrenti l'anticipo delle spese già pervenuto pari a fr. 10'000.–.</w:t>
      </w:r>
    </w:p>
    <w:p>
      <w:r>
        <w:rPr>
          <w:b/>
        </w:rPr>
        <w:t>E. 3.2.1</w:t>
      </w:r>
    </w:p>
    <w:p>
      <w:r>
        <w:t>Giusta l'art. 64 cpv. 1 PA, richiamato l'art. 39 cpv. 2 lett. b LOAP, l'autorità di ricorso, se ammette il ricorso in tutto o in parte, può, d'ufficio o a domanda, assegnare al ricorrente una indennità per le spese indispensabili e relativa- mente elevate che ha sopportato (ripetibili). Nei procedimenti davanti al Tribu- nale penale federale le ripetibili consistono nelle spese di patrocinio (art. 11 cpv. 1 RSPPF applicabile in virtù del rinvio di cui all’art. 10 RSPPF). L'onorario è fissato secondo il tempo, comprovato e necessario, impiegato dall'avvocato per</w:t>
      </w:r>
    </w:p>
    <w:p>
      <w:r>
        <w:t>- 5 -</w:t>
      </w:r>
    </w:p>
    <w:p>
      <w:r>
        <w:t>la causa e necessario alla difesa della parte rappresentata. L'indennità oraria ammonta almeno a 200 e al massimo a 300 franchi (art. 12 cpv. 1 RSPPF).</w:t>
      </w:r>
    </w:p>
    <w:p>
      <w:r>
        <w:rPr>
          <w:b/>
        </w:rPr>
        <w:t>E. 3.2.2</w:t>
      </w:r>
    </w:p>
    <w:p>
      <w:r>
        <w:t>In concreto, i ricorrenti sostengono di aver “avuto un dispendio orario per la stesura del ricorso contro la decisione ora revocata di 21 ore e 20 minuti, come emerge dalla nota dettagliata che si allega. Alla luce degli importi in gioco e della complessità della fattispecie (che si riflette nelle censure ricorsuali), si giu- stifica l’applicazione di una tariffa oraria di CHF 300, cui vanno aggiunte spese forfettarie del 5%” (act. 9, pag. 2).</w:t>
      </w:r>
    </w:p>
    <w:p>
      <w:r>
        <w:t>Orbene, contrariamente a quanto asserito dai ricorrenti, questa Corte ritiene che, non vi è nessuna ragione di scostarsi dalla tariffa oraria di fr. 230.– di regola applicata dal Tribunale penale federale in casi analoghi (v. DTF 142 IV 163; sentenze del Tribunale penale federale BB.2024.77 del 19 settembre 2024 con- sid. 4; BB.2023.119 del 2 novembre 2023 consid. 3.2.2; SK.2011.10 del 26 ago- sto 2011 consid. 8.1; SK.2010.27 del 12 maggio 2011 consid. 6.1; SK.2008.7 del 5 febbraio 2009 consid. 9). Per il resto, il dispendio orario di 21 ore e 20 minuti appare giustificato, per cui vanno riconosciute spese ripetibili di fr. 4'906.70, importo al quale vanno aggiunte le spese amministrative di fr. 245.30, per un totale di fr. 5'152.– a carico del MPC in quanto autorità infe- riore giusta l’art. 64 cpv. 2 PA.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