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RR.2025.129 vom 23. September 2025</w:t>
      </w:r>
    </w:p>
    <w:p>
      <w:r>
        <w:t>Bundesstrafgericht, 2025-09-23, IT</w:t>
      </w:r>
    </w:p>
    <w:p>
      <w:r>
        <w:rPr>
          <w:b/>
        </w:rPr>
        <w:t xml:space="preserve">Quelle: </w:t>
      </w:r>
      <w:r>
        <w:t>https://mcp.opencaselaw.ch/entscheid/bstger_RR.2025.129</w:t>
      </w:r>
    </w:p>
    <w:p>
      <w:r>
        <w:t>FR: TPF RR.2025.129 du 23 septembre 2025</w:t>
      </w:r>
    </w:p>
    <w:p>
      <w:r>
        <w:t>IT: TPF RR.2025.129 del 23 settembre 2025</w:t>
      </w:r>
    </w:p>
    <w:p>
      <w:pPr>
        <w:pStyle w:val="Heading2"/>
      </w:pPr>
      <w:r>
        <w:t>Regeste</w:t>
      </w:r>
    </w:p>
    <w:p>
      <w:r>
        <w:t>Assistenza giudiziaria internazionale in materia penale alla Città del Vaticano Sequestro di valori (art. 80e cpv. 2 lett. a AIMP); effetto sospensivo (art. 80l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In assenza di trattati internazionali, ai rapporti di assistenza giudiziaria interna- zionale in materia penale tra la Città del Vaticano e la Svizzera si applica la legge federale sull'assistenza internazionale in materia penale del 20 marzo 1981 (AIMP; RS 351.1), unitamente alla relativa ordinanza (OAIMP; RS 351.11; v. art. 1 cpv. 1 AIMP).</w:t>
      </w:r>
    </w:p>
    <w:p>
      <w:r>
        <w:t>- 4 -</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Le decisioni incidentali anteriori alla decisione di chiusura possono essere im- pugnate separatamente se causano un pregiudizio immediato e irreparabile mediante il sequestro di beni e valori oppure la presenza di persone che parte- cipano al processo (art. 80e cpv. 2 AIMP). Il termine di ricorso contro una deci- sione incidentale è di 10 giorni (v. art. 80k AIMP). Il ricorso contro il decreto di dissequestro del 14 agosto 2025 è stato interposto tempestivamente. Per quanto riguarda la decisione del 7 luglio 2025 non sono dati i presupposti di impugnabilità di cui all’art. 80e cpv. 2 AIMP. Il relativo ricorso è pertanto inam- missibile.</w:t>
      </w:r>
    </w:p>
    <w:p>
      <w:r>
        <w:rPr>
          <w:b/>
        </w:rPr>
        <w:t>E. 1.5.1</w:t>
      </w:r>
    </w:p>
    <w:p>
      <w:r>
        <w:t>La ricevibilità del gravame presuppone altresì la legittimazione a ricorrere dell'insorgente giusta l'art. 80h AIMP. In base a quest'ultima disposizione, oltre all'UFG (art. 80h lett. a AIMP), ha diritto di ricorrere chiunque è toccato perso- nalmente e direttamente da una misura d'assistenza giudiziaria e ha un inte- resse degno di protezione all'annullamento o alla modifica della stessa (art. 80h lett. b AIMP; v. anche l'art. 21 cpv. 3 AIMP per quanto concerne le persone contro cui è diretto il procedimento penale all'estero). Il concetto di persona toc- cata ai sensi dei predetti articoli di legge trova concretizzazione sia nella giuri- sprudenza che all'art. 9a OAIMP. Per essere considerato personalmente e di- rettamente toccato da una misura di assistenza giudiziaria internazionale, il ri- corrente deve avere un legame sufficientemente stretto con la decisione liti- giosa (DTF 123 II 161 consid. 1 d/aa). Più concretamente, nel caso di una ri- chiesta d'informazioni su un conto bancario è considerato personalmente e di- rettamente toccato il titolare del conto (v. art. 9a lett. a OAIMP; DTF 137 IV 134 consid. 5.2 e 5.2.1 e 118 Ib 547 consid. 1d), così come nelle perquisizioni do- miciliari questa qualità spetta al proprietario o al locatario (v. art. 9a lett. b OAIMP). In via giurisprudenziale è stato altresì precisato che la legittimazione a ricorrere compete alla persona direttamente sottoposta a una misura coerci- tiva (perquisizione, sequestro o interrogatorio; DTF 130 II 162 consid. 1.1; 128 II 211 consid. 2.3; 127 II 198 consid. 2d; 126 II 258 consid. 2d; 124 II 180 consid. 1b; TPF 2007 79 consid. 1.6 pag. 82), mentre gli interessati toccati solo in ma- niera indiretta, come ad esempio il mero avente diritto economico di un conto bancario, non possono impugnare tali provvedimenti (DTF 137 IV 134 consid. 5.2.1 e 122 II 130 consid. 2b e rinvii). Per lo stesso motivo, nel caso di docu- menti in possesso di terzi, soltanto questi ultimi in quanto loro possessori pos- sono contestare il sequestro degli stessi, anche se i documenti in questione</w:t>
      </w:r>
    </w:p>
    <w:p>
      <w:r>
        <w:t>- 5 -</w:t>
      </w:r>
    </w:p>
    <w:p>
      <w:r>
        <w:t>concernono un'altra persona contro la quale è pendente un procedimento pe- nale estero (DTF 137 IV 134 consid. 5.2.3; 123 II 161 consid. 1d; 116 Ib 106 consid. 2a; TPF 2007 79 consid. 1.6). Secondo la giurisprudenza, questo vale parimenti nel caso di documentazione bancaria detenuta da un avvocato o da una fiduciaria in ragione di un mandato (sentenza del Tribunale federale 1A.293/2004 del 18 marzo 2005 consid. 2.3; sentenza del Tribunale penale fe- derale RR.2007.101 del 12 luglio 2007 consid. 2.1).</w:t>
      </w:r>
    </w:p>
    <w:p>
      <w:r>
        <w:rPr>
          <w:b/>
        </w:rPr>
        <w:t>E. 1.5.2</w:t>
      </w:r>
    </w:p>
    <w:p>
      <w:r>
        <w:t>In concreto, nella misura in cui titolare della relazione litigiosa è C. Malta as custodian of D. PL fund e non la ricorrente, mera avente diritto economico della stessa (v. doc. 8 intitolato “Account Opening Request” allegato al ricorso), la legittimazione ricorsuale non è data. Contrariamente a quanto asserito nel gra- vame, non vi è motivo per scostarsi dalla costante giurisprudenza vigente in questo ambito, e questo nemmeno alla luce dello scritto del 5 settembre 2025 (v. supra lett. H), con il quale lo Studio legale E., rappresentante legale della banca C. &amp; Cie SA, afferma, per quanto concerne un’eventuale trasmissione semplificata della documentazione bancaria ex art. 80c AIMP, che «bien que formellement titulaire du compte ouvert en Ies livres de la banque C. &amp; Cie SA à Genève, C. &amp; Cie (Malta) Ltd n’a aucun droit sur les avoirs détenus sur celui- ci, cette relation étant ouverte au nom de “C. Malta as custodian of D. PL”» e che «n’étant pas impliquée et n’ayant aucune connaissance du contexte relatif à la demande d’entraide susmentionnée, C. &amp; Cie (Malta) Ltd n’est pas en me- sure de consentir à la transmission» (act. 6.1). Fatto sta che, seppur titolare del conto e quindi libera di ricorrere in virtù del diritto svizzero, la banca C. &amp; Cie SA non ha formalmente inoltrato ricorso, poco importa a causa di quali pretesi impedimenti inerenti allo strumento finanziario di diritto maltese liberamente scelto dalla ricorrente: dichiarare semplicemente di non acconsentire alla tra- smissione dei documenti non equivale ovviamente a ricorrere contro di essa e non è ammissibile eludere una precisa e inequivocabile giurisprudenza, creando una nuova, audace costellazione (una sorta di litisconsorzio con uno dei litisconsorti che rimane in posizione puramente passiva, o attiva solo moral- mente), estranea ai consolidati principi che reggono la legittimazione ricorsuale in ambito di assistenza internazionale. Il ricorso contro il decreto del 14 agosto 2025 risulta dunque inammissibile per carenza di legittimazione a ricorrere.</w:t>
      </w:r>
    </w:p>
    <w:p>
      <w:r>
        <w:rPr>
          <w:b/>
        </w:rPr>
        <w:t>E. 2</w:t>
      </w:r>
    </w:p>
    <w:p>
      <w:r>
        <w:t>Ne consegue che il ricorso va dichiarato inammissibile. Essendo il gravame a priori inammissibile, questa Corte ha rinunciato allo scambio degli scritti (v. art. 57 cpv. 1 e contrario PA).</w:t>
      </w:r>
    </w:p>
    <w:p>
      <w:r>
        <w:rPr>
          <w:b/>
        </w:rPr>
        <w:t>E. 3</w:t>
      </w:r>
    </w:p>
    <w:p>
      <w:r>
        <w:t>Visto quanto precede, la domanda d’effetto sospensivo è divenuta priva d’og- getto.</w:t>
      </w:r>
    </w:p>
    <w:p>
      <w:r>
        <w:t>- 6 -</w:t>
      </w:r>
    </w:p>
    <w:p>
      <w:r>
        <w:rPr>
          <w:b/>
        </w:rPr>
        <w:t>E. 4</w:t>
      </w:r>
    </w:p>
    <w:p>
      <w:r>
        <w:t>Le spese seguono la soccombenza (v. art. 63 cpv. 1 della legge federale sulla procedura amministrativa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 nale federale (RSPPF; RS 173.713.162), ed è fissata nella fattispecie a fr. 4'000.–. Essa è coperta dall’anticipo delle spese di fr. 6'000.– già versato. La Cassa del Tribunale restituirà alla ricorrente il saldo di fr. 2'000.–.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