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RR.2025.119 vom 26. August 2025</w:t>
      </w:r>
    </w:p>
    <w:p>
      <w:r>
        <w:t>Bundesstrafgericht, 2025-08-26, DE</w:t>
      </w:r>
    </w:p>
    <w:p>
      <w:r>
        <w:rPr>
          <w:b/>
        </w:rPr>
        <w:t xml:space="preserve">Quelle: </w:t>
      </w:r>
      <w:r>
        <w:t>https://mcp.opencaselaw.ch/entscheid/bstger_RR.2025.119</w:t>
      </w:r>
    </w:p>
    <w:p>
      <w:r>
        <w:t>FR: TPF RR.2025.119 du 26 août 2025</w:t>
      </w:r>
    </w:p>
    <w:p>
      <w:r>
        <w:t>IT: TPF RR.2025.119 del 26 agosto 2025</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rPr>
          <w:b/>
        </w:rPr>
        <w:t>E. 1.2</w:t>
      </w:r>
    </w:p>
    <w:p>
      <w:r>
        <w:t>Darüber hinaus anwendbar sind das Schengener Durchführungsüberein- kommen vom 14. Juni 1985 (SDÜ; CELEX-Nr. 42000A0922(02); ABl. L 239 vom 22. September 2000, S. 19-62; Text nicht publiziert in der SR, jedoch</w:t>
      </w:r>
    </w:p>
    <w:p>
      <w:r>
        <w:t>- 4 -</w:t>
      </w:r>
    </w:p>
    <w:p>
      <w:r>
        <w:t>abrufbar auf der Webseite der Schweizerischen Eidgenossenschaft unter «Rechtssammlung zu den sektoriellen Abkommen mit der EU», 8.1 Anhang A; https://www.admin.ch/opc/de/european-union/international- agreements/008.html) i.V.m. der Verordnung (EU) 2018/1862 des Europäi- schen Parlaments und des Rates vom 28. November 2018 über die Einrich- tung, den Betrieb und die Nutzung des Schengener Informationssystems (SIS) im Bereich der polizeilichen Zusammenarbeit und der justiziellen Zu- 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1.3</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je mit weiteren Hinweisen). Vorbehalten bleibt die Wahrung der Menschenrechte (BGE 145 IV 294 E. 2.1; 123 II 595 E. 7c; TPF 2020 64 E. 1.1).</w:t>
      </w:r>
    </w:p>
    <w:p>
      <w:r>
        <w:rPr>
          <w:b/>
        </w:rPr>
        <w:t>E. 1.4</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3. Juli 2025 wurde dem Beschwerdeführer am 4. Juli 2025 zugestellt (act. 7.20), womit die Beschwerde vom 28. Juli 2025 fristgerecht erhoben worden ist. Der Beschwerdeführer ist als Adressat des Auslieferungsentscheids zu dessen Anfechtung legitimiert. Auf die Be- schwerde ist einzutreten.</w:t>
      </w:r>
    </w:p>
    <w:p>
      <w:r>
        <w:rPr>
          <w:b/>
        </w:rPr>
        <w:t>E. 3.1.1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einer schwereren Strafe be- droht sind. Gemäss Art. 2 Ziff. 1 EU-Auslieferungsübereinkommen ist wegen Handlungen auszuliefern, die nach dem Recht des ersuchenden Staates mit einer Freiheitsstrafe oder einer die Freiheit beschränkenden Massregel der Sicherung und Besserung im Höchstmass von mindestens zwölf Monaten und die nach dem Recht des ersuchten Staats mit einer Freiheitsstrafe oder einer die Freiheit beschränkenden Massregel der Sicherung und Besserung im Höchstmass von mindestens sechs Monaten bedroht sind. Ist im ersu- chenden Staat eine Verurteilung zu einer Strafe erfolgt, so muss deren Mass mindestens vier Monate betragen (Art. 2 Ziff. 1 EAUe).</w:t>
      </w:r>
    </w:p>
    <w:p>
      <w:r>
        <w:rPr>
          <w:b/>
        </w:rPr>
        <w:t>E. 3.1.2</w:t>
      </w:r>
    </w:p>
    <w:p>
      <w:r>
        <w:t>Der Beschwerdeführer wurde mit Urteil des Amtsgerichts in Zielona Góra vom 13. September 2019 zu einer Freiheitsstrafe von 2 Jahren und 4 Mona- ten verurteilt, wobei die Verurteilung mit Urteil des Bezirksgerichts in Zielona Góra vom 10. März 2020 bestätigt wurde (act. 7.1, Urteile vom 13. Septem- ber 2019 und 10. März 2020). Die obgenannte (E. 3.1.1) Auslieferungsvo- raussetzung ist somit gegeben und wird vom Beschwerdeführer auch nicht bestritten.</w:t>
      </w:r>
    </w:p>
    <w:p>
      <w:r>
        <w:rPr>
          <w:b/>
        </w:rPr>
        <w:t>E. 3.2</w:t>
      </w:r>
    </w:p>
    <w:p>
      <w:r>
        <w:t>Der Beschwerdeführer macht vorliegend geltend, dass seine Mindestrechte der Verteidigung in Polen im erst- und im zweitinstanzlichen Verfahren nicht</w:t>
      </w:r>
    </w:p>
    <w:p>
      <w:r>
        <w:t>- 6 -</w:t>
      </w:r>
    </w:p>
    <w:p>
      <w:r>
        <w:t>gewahrt worden seien. Anlässlich der Urteilsverkündung vom 13. September 2019 sei er als einziger Beteiligter anwesend gewesen. Obschon aus dem Protokoll zur Urteilsverkündung hervorgehe, dass alle Personen rechtmässig vorgeladen worden seien, sei nicht einmal seine damalige Verteidigerin an- wesend gewesen. Der Beschwerdeführer habe seine Verteidigerin selbst be- zahlen müssen, obschon er Gefahr lief, zu einer mehrjährigen Freiheitsstrafe verurteilt zu werden und (zumindest analog der Schweizerischen Strafpro- zessordung) Anspruch auf eine amtliche, notwendige Verteidigung gehabt habe. Da die Verteidigung bei der Urteilseröffnung nicht anwesend gewesen sei, sei fraglich, wie ernst die Verteidigerin die Verteidigung des Beschwer- deführers genommen habe. Der Umstand, dass die (wohl) frei mandatierte Verteidigerin des Beschwerdeführers der Urteilseröffnung fernbleiben konnte, zeige, dass er im erstinstanzlichen Verfahren unzureichend vertei- digt worden sei. Auch seien zu den Hauptverhandlungen vom 20. November 2018 und 23. April 2019 weder die angeblichen Opfer noch die Verteidigerin des Beschwerdeführers erschienen. Die Aussagen der Opfer und der Zeu- gen seien dem Beschwerdeführer nur Verlesen worden, weshalb das ihm zustehende Fragerecht verwehrt worden sei. Zweitinstanzlich sei er in einem Abwesenheitsverfahren verurteilt worden und sei über die Berufungsver- handlung nicht informiert worden. Ihm sei unklar, ob ihm die Vorladung zur Berufungsverhandlung rechtsgenüglich zugestellt und ob er an dieser vertei- digt gewesen sei. Er sei aus Polen erst ausgereist, als ihm die polnische Rechtsanwältin mitgeteilt habe, dass alles geregelt sei und er nichts zu be- fürchten habe. Er fühle sich nicht als Beschuldigter, da er Zeuge der Vorfälle und nicht Mittäter gewesen sei. Er habe deshalb als Rechtsunkundiger die Tragweite des Strafverfahrens, das sich auch gegen ihn gerichtet habe, nicht verstanden (act. 1, S. 5 ff.).</w:t>
      </w:r>
    </w:p>
    <w:p>
      <w:r>
        <w:rPr>
          <w:b/>
        </w:rPr>
        <w:t>E. 3.3.1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w:t>
      </w:r>
    </w:p>
    <w:p>
      <w:r>
        <w:rPr>
          <w:b/>
        </w:rPr>
        <w:t>E. 3.3.2</w:t>
      </w:r>
    </w:p>
    <w:p>
      <w:r>
        <w:t>Der Angeschuldigte hat grundsätzlich Anspruch darauf, in Anwesenheit beurteilt zu werden (Art. 6 EMRK; Art. 29 Abs. 2 BV; Art. 14 UNO-Pakt II). Dieses Recht ist jedoch nicht absolut: Nach der Praxis des Bundesgerichts und des Europäischen Gerichtshofes für Menschenrechte sind Abwesen- heitsverfahren zulässig, sofern der in Abwesenheit Verurteilte nachträglich verlangen kann, dass ein Gericht, nachdem es ihn zur Sache angehört hat, nochmals überprüft, ob die gegen ihn erhobenen Beschuldigungen begrün- det sind (BGE 127 I 213 E. 3a S. 215 m.w.H.). Art. 6 Ziff. 1 EMRK, Art. 14 UNO Pakt II und Art. 29 Abs. 2 BV gewähren einem in Abwesenheit Verurteilten auch kein bedingungsloses Recht auf eine Neubeurteilung. Eine solche kann von der Einhaltung bestimmter For- men und Fristen seitens des Gesuchstellers abhängig gemacht werden. Fer- ner kann eine Neubeurteilung abgelehnt werden, wenn der in Abwesenheit Verurteilte wirksam verteidigt war und auf sein Anwesenheitsrecht verzichtet, sich geweigert hat, an der Verhandlung teilzunehmen oder die Unmöglich- keit, dies zu tun, selber verschuldet hat (BGE 129 II 56 E. 6.2 S. 60; 127 I 213 E. 3a und 4 S. 215 ff.; Urteile des Bundesgerichts 1A.2/2004 vom 6. Feb- ruar 2004 E. 4.3 und 4.5; 1A.289/2003 vom 20. Januar 2004 E. 3.3). Für die Auslieferung zur Vollstreckung eines Abwesenheitsurteils enthält so- dann Art. 3 ZPII zum EAUe eine eigene Regelung: Danach kann die ersuchte</w:t>
      </w:r>
    </w:p>
    <w:p>
      <w:r>
        <w:t>- 8 -</w:t>
      </w:r>
    </w:p>
    <w:p>
      <w:r>
        <w:t>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 Vertragspartei eine als ausreichend erachtete Zusicherung gibt, der Person, um deren Auslieferung ersucht wird, das Recht auf ein neues Gerichtsver- fahren zu gewährleisten, in dem die Rechte der Verteidigung gewahrt wer- den (Urteil des Bundesgerichts 1A.135/2005 vom 22. August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 konnte (BGE 129 II 56 E. 6.2 am Schluss und E. 6.3 S. 60 f.; Urteil des Bun- desgerichts 1A.261/2006 vom 9. Januar 2007 E. 3.2), bzw. der in Abwesen- heit Verurteilte gegen das Abwesenheitsurteil bei einer Rechtsmittelinstanz, welche in tatsächlicher und rechtlicher Hinsicht über eine umfassende Kog- nition verfügt, ein Rechtsmittel erheben konnte und in diesem Verfahren die Mindestrechte der Verteidigung gewahrt wurden (BGE 129 II 56 E. 6.4 S. 61 f.). Diesfalls besteht kein Anlass für die Ablehnung der Auslieferung oder die Einholung einer Zusicherung nach Art. 3 ZPII EAUe beim ersuchen- den Staat (Urteil des Bundesgerichts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w:t>
      </w:r>
    </w:p>
    <w:p>
      <w:r>
        <w:t>- 9 -</w:t>
      </w:r>
    </w:p>
    <w:p>
      <w:r>
        <w:t>kann ein Auslieferungshindernis allenfalls bei einer offensichtlich ungenü- genden Verteidigung in Frage kommen (Urteil des Bundesgerichts 1A.135/2005 vom 22. August 2005 E. 3.2.2).</w:t>
      </w:r>
    </w:p>
    <w:p>
      <w:r>
        <w:rPr>
          <w:b/>
        </w:rPr>
        <w:t>E. 3.3.3</w:t>
      </w:r>
    </w:p>
    <w:p>
      <w:r>
        <w:t>Nach dem völkerrechtlichen Vertrauensprinzip darf die ersuchte Behörde da- von ausgehen, dass die einem Auslieferungsersuchen zugrunde liegenden Angaben den Tatsachen entsprechen (Urteil des Bundesgerichts 1A.122/2003 vom 25. August 2003 E. 3.2 mit Hinweis). Die schweizerische Rechtshilfebehörde hat die Gültigkeit der vom ersuchenden Staat unternom- menen Verfahrensschritte und der von ihm vorgelegten Unterlagen nicht zu prüfen, es sei denn, es liege eine besonders schwerwiegende und offensicht- liche Verletzung des ausländischen Verfahrensrechts vor, die das Ausliefe- rungsersuchen als geradezu rechtsmissbräuchlich erscheinen liesse (Urteile des Bundesgerichts 1C_82/2021 vom 16. Februar 2021 E. 1.2; 1C_454/2019 vom 12. September 2019 E. 2.2; Entscheide des Bundesstrafgerichts RR.2023.53 vom 31. Mai 2023 E. 5.2.2; RR.2023.9 vom 3. April 2023 E. 3.2; RR.2022.135 vom 25. August 2022 E. 5.2.5).</w:t>
      </w:r>
    </w:p>
    <w:p>
      <w:r>
        <w:rPr>
          <w:b/>
        </w:rPr>
        <w:t>E. 3.4.1</w:t>
      </w:r>
    </w:p>
    <w:p>
      <w:r>
        <w:t>Der Beschwerdeführer wurde mit Urteil des Amtsgerichts in Zielona Góra vom 13. September 2019 zu einer Freiheitsstrafe von 2 Jahren und 4 Mona- ten verurteilt (act. 7.1, Urteil vom 13. September 2019). Gemäss den Anga- ben des Amtsgerichts in Zielona Góra und im Auslieferungsersuchen wurde der Beschwerdeführer im Laufe des erstinstanzlichen Verfahrens durch Rechtsanwältin C. vertreten (act. 7.1). Mit Urteil des Bezirksgerichts in Zielona Góra vom 10. März 2020 wurde die Verurteilung des Beschwerde- führers bestätigt (act. 7.1, Urteil vom 10. März 2020). Anlässlich der Beru- fungsverhandlung war der Beschwerdeführer nicht anwesend. Gemäss den Angaben im Urteil vom 10. März 2020 wurde die Berufung u.a. von der Ver- teidigung des Beschwerdeführers erhoben. Im Auslieferungsersuchen führ- ten die polnischen Behörden aus, dass der Beschwerdeführer über die Be- rufungsverhandlung benachrichtigt worden sei. Auf Nachfrage des Be- schwerdegegners bestätigten die polnischen Behörden, dass der Beschwer- deführer anlässlich der Berufungsverhandlung vom 10. März 2020 anwaltlich vertreten worden sei, namentlich durch C., die sich ihrerseits durch Rechts- anwältin D. vertreten liess. Der Grund für die Vertretung sei der ersuchenden Behörde nicht bekannt (act. 7.13). Zudem gaben die polnischen Behörden an, dass der Beschwerdeführer zur Berufungsverhandlung vom 10. März 2020 schriftlich vorgeladen worden sei; die Vorladung sei an die Adresse «[…]» gesendet worden. Der Beschwerdeführer sei bei den staatsanwalt- schaftlichen Einvernahmen auf die Pflicht hingewiesen worden, jede Ände- rung der Wohnanschrift oder Änderung des Aufenthaltsortes, der länger als sieben Tage dauert, sofort zu melden. Über die Folgen der Nichtmeldung</w:t>
      </w:r>
    </w:p>
    <w:p>
      <w:r>
        <w:t>- 10 -</w:t>
      </w:r>
    </w:p>
    <w:p>
      <w:r>
        <w:t>einer Adressänderung oder der Nichtabholung der Korrespondenz unter der angegebenen Adresse sei er schriftlich belehrt worden und habe den Emp- fang dieser Belehrung unterschriftlich bestätigt. Schliesslich gaben die polni- schen Behörden an, dass am 10. März 2020 in Polen keine Massnahmen im Zusammenhang mit dem COVID 19-Virus in Kraft gewesen seien, die eine Teilnahme des Beschwerdeführers an der Gerichtsverhandlung hätten ein- schränken können (act. 7.13).</w:t>
      </w:r>
    </w:p>
    <w:p>
      <w:r>
        <w:rPr>
          <w:b/>
        </w:rPr>
        <w:t>E. 3.4.2</w:t>
      </w:r>
    </w:p>
    <w:p>
      <w:r>
        <w:t>Das erstinstanzliche Urteil vom 13. September 2019 erging, nachdem das Amtsgericht die Sache an sieben Tagen (3. November 2017, 5. Januar 2018, 26. Februar 2018, 20. November 2018, 23. April 2019, 13. Juni 2019 und 10. September 2019) verhandelt hatte (act. 7.1, Urteil vom 13. September 2019). Dem Beschwerdeführer zufolge war er an allen «Teilen» der (erstin- stanzlichen) Hauptverhandlung anwesend (act. 1, S. 8). Der Beschwerde- führer behauptet nicht, dass er an sämtlichen sieben Verhandlungstagen nicht verteidigt gewesen wäre. Wie aus dem eingereichten Protokoll der Ur- teilsverkündung hervorgeht, wurden dem anwesenden Beschwerdeführer am 13. September 2019 die wichtigsten Punkte des erstinstanzlichen Urteils mündlich mitgeteilt sowie die Erhebung des Rechtsmittels erklärt (act. 1.2). Das Urteil vom 13. September 2019 wurde vom Amtsgericht schriftlich be- gründet und der Verteidigerin des Beschwerdeführers zugestellt (act. 7.1, Urteil vom 13. September 2019), sodass sie in seinem Namen dagegen Be- rufung erheben konnte. Da das schriftlich begründete Urteil vom 13. Sep- tember 2019 seiner Verteidigung eröffnet wurde und der Beschwerdeführer im erstinstanzlichen Verfahren anwaltlich vertreten war, ist nicht ersichtlich, inwiefern anlässlich der mündlichen Urteilsverkündung vom 13. September 2019 die Mindestrechte der Verteidigung verletzt worden wären. Die Frage, ob der Beschwerdeführer im polnischen Verfahren Anspruch auf eine amtli- che, notwendige Verteidigung gehabt hätte, ist nicht vom Schweizer Rechts- hilferichter zu beurteilen. Eine offensichtliche Verletzung der Verteidigungs- rechte ist auch in Bezug auf die vom Beschwerdeführer monierte Abwesen- heit der Zeugen und Geschädigten nicht zu erkennen. Wie aus dem vom Beschwerdeführer ins Recht gelegten Protokoll der Hauptverhandlung vom 23. April 2019 hervorgeht, wurden ihm sämtliche Protokolle der Zeugenaus- sagen vorgelesen, da eine Zeugin verstorben war und der Aufenthaltsort der anderen beiden Zeugen trotzt mehrfacher Bemühungen nicht festgestellt werden konnte (act. 1.3). Wie der Beschwerdegegner im angefochtenen Entscheid zutreffend aus- führt, war der Beschwerdeführer über das in seinem Namen eingeleitete Be- rufungsverfahren orientiert und ist am 4. April 2020, mithin kurz nach Erge- hen des Berufungsurteils vom 10. März 2020 in die Schweiz eingereist. So- mit ist davon auszugehen, dass der anwaltlich vertretene Beschwerdeführer</w:t>
      </w:r>
    </w:p>
    <w:p>
      <w:r>
        <w:t>- 11 -</w:t>
      </w:r>
    </w:p>
    <w:p>
      <w:r>
        <w:t>zum Zeitpunkt des Berufungsverfahrens in Polen wohnhaft war und die Vor- ladung gemäss den polnischen Behörden an die zuletzt bekannte Wohnad- resse versendet wurde und er rechtsgültig vorgeladen wurde. Da der Be- schwerdeführer anlässlich der Berufungsverhandlung durch eine Wahlver- teidigerin vertreten war, ist nicht ersichtlich, inwiefern die diesbezüglichen Mindestrechte des Beschwerdeführers nicht gewahrt worden sind. Daran än- dert auch der Umstand nichts, dass sich die ihm bekannte Verteidigerin an der Berufungsverhandlung substituieren liess. Jedenfalls ergeben sich aus den vorliegenden Unterlagen keine Hinweise, die auf eine offensichtlich un- genügende Verteidigung des Beschwerdeführers im Berufungsverfahren hindeuten würden. Unglaubwürdig erscheint auch der Einwand des Beschwerdeführers, er fühle sich nicht als Beschuldigter und habe als Rechtsunkundiger die Tragweite des sich gegen ihn gerichteten Strafverfahrens nicht verstanden. Zum einen war der Beschwerdeführer sowohl erst- als auch im zweitinstanzlichen Ver- fahren anwaltlich vertreten. Zum anderen war der Beschwerdeführer seinen Angaben zufolge an allen erstinstanzlichen Verhandlungsterminen anwe- send (teilweise mit einem Mitbeschuldigten) und ihm wurden sämtliche Zeu- genaussagen vorgelesen. Zudem stellte er anlässlich der Hauptverhandlung vom 23. April 2019 persönlich den Antrag auf Freispruch oder Geldstrafe (act. 1.3). Dies alles zeigt, dass dem Beschwerdeführer bewusst war, dass er für die ihm gemachten Vorwürfe zu einer Freiheitsstrafe verurteilt werden konnte.</w:t>
      </w:r>
    </w:p>
    <w:p>
      <w:r>
        <w:rPr>
          <w:b/>
        </w:rPr>
        <w:t>E. 3.4.3</w:t>
      </w:r>
    </w:p>
    <w:p>
      <w:r>
        <w:t>Nach dem Gesagten steht fest, dass die Mindestrechte des Beschwerdefüh- rers sowohl im erst- als auch zweitinstanzlichen Verfahren gewahrt wurden. Somit ist der angefochtene Entscheid diesbezüglich nicht zu beanstanden, weshalb sich die Beschwerde in diesem Punkt als unbegründet erweist.</w:t>
      </w:r>
    </w:p>
    <w:p>
      <w:r>
        <w:rPr>
          <w:b/>
        </w:rPr>
        <w:t>E. 3.5.1</w:t>
      </w:r>
    </w:p>
    <w:p>
      <w:r>
        <w:t>Des Weiteren macht der Beschwerdeführer eine Verletzung des Familienle- bens im Sinne von Art. 8 und 13 EMRK geltend und führt aus, es liege eine aussergewöhnliche familiäre Situation vor, die gegen seine Auslieferung spreche. Er lebe seit April 2020 in der Schweiz, sei verheiratet und habe einen 4-jährigen Sohn. Seine Ehefrau leide nach dem Tod eines ihrer Ge- schwister und einer erlebten Vergewaltigung sowie behinderter Eltern an psychischen Problemen und sei bereits in Polen in stationärer Behandlung gewesen. Dies verunmögliche ihr das Leben als Alleinerziehende, weshalb sie auf die Unterstützung des Beschwerdeführers angewiesen sei. Zudem sei ein KESB-Verfahren eröffnet worden und die Eheleute seien angewiesen worden, in den nächsten sechs Monaten Beratungsgespräche mit dem So- zialdienst in Anspruch zu nehmen, da im Sozialabklärungsbericht ein</w:t>
      </w:r>
    </w:p>
    <w:p>
      <w:r>
        <w:t>- 12 -</w:t>
      </w:r>
    </w:p>
    <w:p>
      <w:r>
        <w:t>gewisses Gefährdungspotenzial festgestellt worden sei. Auf schärfere Kin- desschutzmassnahmen sei verzichtet worden, weil der Beschwerdeführer zwischenzeitlich aus der Haft entlassen worden sei. Seine Ehefrau arbeite aufgrund der psychischen Probleme nicht und müsste im Falle einer Auslie- ferung des Beschwerdeführers früher oder später die Schweiz aus migrati- onsrechtlichen Gründen verlassen. Da sie in Polen auf keine staatliche oder Unterstützung aus dem sozialen Umfeld hoffen könne, wäre das Kind in einer höchst ungewissen und potenziell gefährdenden Situation, was früher oder später zu einer Fremdplatzierung des Kindes führen würde. Zudem erweise sich die Auslieferung als unverhältnismässig. Der Beschwerdeführer lebe seit fünf Jahren in der Schweiz, arbeite durchgehend und sei gut integriert. Das Delikt soll sich im Jahr 2016 ereignet haben, weshalb auch das Strafbe- dürfnis nach derart langem Zeitablauf nicht mehr vorhanden sei (act. 1, S. 9 ff.).</w:t>
      </w:r>
    </w:p>
    <w:p>
      <w:r>
        <w:rPr>
          <w:b/>
        </w:rPr>
        <w:t>E. 3.6.1</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w:t>
      </w:r>
    </w:p>
    <w:p>
      <w:r>
        <w:rPr>
          <w:b/>
        </w:rPr>
        <w:t>E. 3.6.2</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ausnahmsweise (bzw. vorübergehend) ein Auslieferungshindernis im Lichte von Art. 3 bzw. 8 EMRK bilden (BGE 123 II 279 E. 2d; Urteil des Bundesge- richts 1A.199/2006 E. 3.1). Gemäss ständiger, restriktiver Rechtsprechung</w:t>
      </w:r>
    </w:p>
    <w:p>
      <w:r>
        <w:t>- 13 -</w:t>
      </w:r>
    </w:p>
    <w:p>
      <w:r>
        <w:t>kann Art. 8 EMRK einer Auslieferung somit nur ausnahmsweise bei ausser- gewöhnlichen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Novem- ber 2018 E. 4.2). 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würde also nicht nur in eine kontinuierliche und stabile Bindung des Kindes zu seiner wichtigsten Bezugsperson eingreifen, sondern sie verunmöglichen. Das Bundesstrafgericht bewilligte die Auslieferung unter der diplomatischen Garantie, dass die Mutter ihren Sohn im Strafvollzug unter für das Kind ver- tretbaren Umständen bei sich haben kann (E. 7.3, 7.4; kein Weiterzug). In TPF 2020 81 ersuchte Portugal um die Auslieferung einer (in Portugal aufgewachsen) Mutter zur Strafverfolgung wegen bewaffneten Raubes. Der Vater der beiden jüngsten Kinder nahm sein Besuchsrecht nach der Schei- dung unregelmässig wahr und delegierte die Erziehung an die Mutter. Die jüngere Tochter brauchte Struktur und der Kontakt zur Mutter war ausseror- dentlich eng. Trennungen schufen ihr Unsicherheit und Unruhe. Der Sohn hatte Trisomie 21 und wohnte in einem Heim. Er sah v.a. seine Mutter jedes zweite Wochenende und verbrachte die Ferien bei den Eltern. Die ältere Tochter hatte als Elternfigur nur die Mutter. Sie hatte bedeutende schulische Schwierigkeiten, benötigte Spezialunterricht und eine Betreuung für ihre Ver- haltensschwierigkeiten. Der staatliche Kindesschutz begleitete die drei Kin- der seit dem Jahr 2011. Die Mutter selbst hatte eine Beistandschaft erhalten. Aus Berichten dieser Behörden ergab sich, dass die Mutter kooperierte und dass gewisse Fortschritte erzielt wurden. Gemäss amtlicher Feststellung würde die Trennung von der Mutter die Schwierigkeiten ihrer drei Kinder ver- vielfachen. Trotz einer gewissen Fragilität sei sie es, die ihnen Orientierung gebe. Sie habe in der Praxis auch die Rolle des Vaters erfüllt. In dieser aus- sergewöhnlichen und dokumentierten Situation hob das Bundesstrafgericht den Auslieferungsentscheid des BJ auf (E. 2.5–2.7)</w:t>
      </w:r>
    </w:p>
    <w:p>
      <w:r>
        <w:t>- 14 -</w:t>
      </w:r>
    </w:p>
    <w:p>
      <w:r>
        <w:rPr>
          <w:b/>
        </w:rPr>
        <w:t>E. 3.6.3</w:t>
      </w:r>
    </w:p>
    <w:p>
      <w:r>
        <w:t>Aus den vorliegenden Akten geht hervor, dass der 28-jährige Beschwerde- führer seit April 2020 in der Schweiz lebt. Er ist mit einer heute 41-jährigen, ebenfalls aus Polen stammenden Frau, verheiratet und lebt mit ihr und dem, im Jahr 2021 geborenen, gemeinsamen Sohn in Z. Seit Februar 2025 mietet die Familie ein Hausteil mit insgesamt drei Zimmern, wobei der Mietvertrag bis Februar 2026 befristet ist (act. 1.5 S. 1-5). Gemäss den Angaben im Sozialbericht vom 12. Juni 2025 reichte die kanto- nale Staatsanwaltschaft des Kantons Aargau am 14. Februar 2025 eine Ge- fährdungsmeldung ein, nachdem der Beschwerdeführer bei seiner Verset- zung in die Auslieferungshaft angegeben hatte, dass seine Ehefrau psychi- sche Probleme habe, an Schizophrenie, Paranoia und Angstzuständen leide, und starke Medikamente nehme und er nicht einschätzen könne, ob sie sich bei einem Anfall selbst oder das Kind verletzen könnte (act. 1.5, Ziff. 1.6). Im März 2025, während der Inhaftierung des Beschwerdeführers, führte eine Sachbearbeiterin der KESD Z. zwei Gespräche mit der Ehefrau des Be- schwerdeführers durch (act. 1.5 S. 4). Zusammengefasst erklärte sie, die aktuellen Umständen würden sie sehr beschäftigen. Sie vermisse ihren Mann, wolle alles für ihn machen und spüre aktuell eine Kraft, die sie vorher nicht gehabt habe. Mit 12 habe sie eine Vergewaltigung erlebt. Als traumati- sierend bezeichnete sie zudem die durch sie erfolgten Identifizierung ihres Bruders, nachdem dieser im Alter von 19 Jahren an den Folgen eines Auto- unfalls gestorben sei. Ihre Eltern würden eine Behinderung aufweisen, die Mutter habe ein Problem an den Augennerven. Mit 16 sei sie mit ihrem da- maligen Partner in die Schweiz ausgewandert. Mit diesem habe sie zwei Kin- der. Die 21-jährige Tochter, die in der Schweiz lebe, pflege zu ihr einen regen Kontakt. Der 17-jährige Sohn lebe in Polen beim Kindsvater. Der 4-jährige Sohn, den sie mit dem Beschwerdeführer habe, werde grundsätzlich von beiden Elternteilen betreut, wobei der Beschwerdeführer krankgeschrieben worden sei. Sobald der Beschwerdeführer erneut einer Erwerbstätigkeit nachgehen werde, würde die Betreuung überwiegend durch sie übernom- men. Sie verbringe mit ihrem Sohn viel Zeit. Beispielsweise würden sie zum Spielplatz gehen, Fahrrad fahren, am See baden und grillen, im Wald Pilze suchen oder mit dem Hund der Nachbarn spazieren gehen. Er spiele auch mit den Kindern der Nachbarschaft. Sie sei früher in Polen und in der Schweiz einer Arbeit nachgegangen, derzeit arbeite sie jedoch nicht. Mob- bing am Arbeitsplatz hätten dazu geführt, dass sie nicht mehr habe essen und schlafen können. Sowohl in Polen als auch in der Schweiz habe sie eine psychische Behandlung erlebt. In der Einrichtung in Polen sei sie schlecht behandelt und geschlagen worden. In der Schweiz habe sie eine gute The- rapie machen können, die ihr gutgetan habe. Mittlerweile verfüge sie über</w:t>
      </w:r>
    </w:p>
    <w:p>
      <w:r>
        <w:t>- 15 -</w:t>
      </w:r>
    </w:p>
    <w:p>
      <w:r>
        <w:t>Handlungsstrategien. Sie wisse was zu tun sei und wo sie sich Hilfe holen könne. Sie nehme regelmässig Relaxane und Escitalopram ein und nehme aktuell keine (weitere) therapeutische Unterstützung in Anspruch. Sie habe geringe Deutschkenntnisse, sie habe die deutsche Sprache nie gemocht und diese nie lernen wollen (act. 1.5, Ziff. 2.1). Das Gespräch mit dem Beschwer- deführer erfolgte im April 2025. Dabei gab u.a. an, im Januar 2021 mit seiner Familie in die Schweiz eingereist zu sein. Im Februar 2021 sei sein Sohn geboren und im Dezember 2021 hätten er und seine Frau geheiratet. Zuletzt habe er bei einer Elektro-Firma gearbeitet. Bedingt durch den Arbeitsunfall und seiner Inhaftierung sei ihm gekündigt worden. Er erhalte SUVA-Aus- gleichszahlungen. Es bestünden offene Rechnungen bei der Krankenkasse, beim Betreibungsamt und bei Inkassofirmen. Während seiner Inhaftierung sei eine gute Bekannte aus Polen in die Schweiz gekommen, um seine Frau und das Kind zu unterstützen. Seit dem Aufenthalt seiner Ehefrau in der Ein- richtung der Klinik E. im Jahr 2023 habe er bei ihr keine Anzeichen von Schi- zophrenie und Paranoia feststellen können. Seiner Ansicht nach leide seine Ehefrau unter viel Stress und «schlechten Emotionen». Bedingt durch die mit seiner Inhaftierung zusammenhängen Ereignisse erlebe er seine Ehefrau als geduldiger und offener, um Veränderungen zulassen zu können. So gehe sie offener auf andere zu und wolle Deutsch lernen. Im August 2025 würde das Kind in den Kindergarten eintreten (act. 1.5, Ziff. 2.3-2.4). Zur Gefährdung wurde im Bericht festgehalten, dass die abklärenden Perso- nen während des Abklärungsprozesses nicht abschliessend abschätzen konnten, ob und inwieweit die Ehefrau des Beschwerdeführers als psychisch stabil einzuschätzen sei oder bei einer erneuten psychotischen Störung sich und ihren Sohn gefährden könnte. Bedingt durch die Entlassung des Be- schwerdeführers aus der Haft sei die Gefährdungssituation abgewendet wor- den. Da das Verfahren rund um die Inhaftierung des Beschwerdeführers noch nicht abgeschlossen sei, bestehe die latente Gefahr, dass auch in Zu- kunft eine Gefährdungssituation eintreten könne (act. 1.5, Ziff. 3.5). Eine akute Gefährdung des Kindeswohl konnte während des Abklärungsprozes- ses ausgeschlossen werden. Es wurde jedoch aufgrund der begrenzten Wohnverhältnissen, der finanziell angespannten Situation, den wenigen so- zialen Kontakten, den mangelnden Deutschkenntnissen sowie des unklaren rechtlichen Verlaufs betreffend des Auslieferungsverfahrens eine latente Kindeswohlgefährdung festgestellt (act. 1.5, Ziff. 3.6). Aufgrund der Abwen- dung der gefährdenden Situation durch die Entlassung des Beschwerdefüh- rers aus der Auslieferungshaft wurde weder eine Erwachsenen- noch eine Kindesschutzmassnahme empfohlen. Das KESD empfahl jedoch der KESB, den Eltern die Weisung zu erteilen, sich zwecks Anbindung und persönliche Beratung hinsichtlich der Wohnungssuche und Unterstützung in finanziellen</w:t>
      </w:r>
    </w:p>
    <w:p>
      <w:r>
        <w:t>- 16 -</w:t>
      </w:r>
    </w:p>
    <w:p>
      <w:r>
        <w:t>sowie persönlichen Belange umgehend an den Sozialdienst der Wohnge- meinde zu melden (act. 1.5, Ziff. 3.6).</w:t>
      </w:r>
    </w:p>
    <w:p>
      <w:r>
        <w:rPr>
          <w:b/>
        </w:rPr>
        <w:t>E. 3.6.4</w:t>
      </w:r>
    </w:p>
    <w:p>
      <w:r>
        <w:t>Trotz gewisser psychischer Probleme bei der Ehefrau des Beschwerdefüh- rers liegen in casu keine aussergewöhnlichen Familienverhältnisse im Sinne der oben zitierten Rechtsprechung vor, welche einer Auslieferung entgegen- stünden. Es besteht weder für die Ehefrau noch den Sohn eine Beistand- schaft und eine akute Gefährdung des Kindeswohles wurde im Bericht vom 12. Juni 2025 verneint. Die latente Kindeswohlgefährdung wurde nicht nur aufgrund der möglichen Inhaftierung des Beschwerdeführers, sondern ins- besondere auch aufgrund der begrenzten Wohnverhältnissen, der finanziell angespannten Situation, den wenigen sozialen Kontakten sowie den man- gelnden Deutschkenntnissen festgestellt (act. 1.5, Ziff. 3.6). Schutzmass- nahmen wurden keine angeordnet und bezüglich der Wohnungssuche und Unterstützung in finanziellen sowie persönlichen Belange empfahl das KESD persönliche Beratung der Eltern. Die Ehefrau des Beschwerdeführers hat Kenntnis der Hilfemöglichkeiten, die sie im Falle einer psychischen Ausnah- mesituation aktivieren kann. Darüber hinaus ist sie heute über das KESD informiert. In der Zeit der Inhaftierung des Beschwerdeführers haben Ehe- frau und Sohn des Beschwerdeführers offenbar Hilfe durch eine Bekannte bekommen. Das Kind hat heute zudem ein Kindergartenplatz. Es ist davon auszugehen, dass im Falle einer Auslieferung des Beschwerdeführers die Ehefrau und der Sohn die notwendige Unterstützung erhalten werden. Im Übrigen kann eine Einschränkung des Familienlebens so wenig wie in jedem andern Straffall vermieden werden, in welchem eine freiheitsentziehende Massnahme anzuordnen ist. Die vom Beschwerdeführer geltend gemachten Nachteile familiärer Art gehen auch unter Berücksichtigung der Situation sei- ner Ehefrau und des Sohnes nicht wesentlich über das bei einer Inhaftierung des Beschwerdeführers in der Schweiz Übliche hinaus. Wie der Beschwer- degegner zutreffend ausführt, würde die Belastung für die Familien im Falle der Verbüssung der dem Beschwerdeführer auferlegten Freiheitsstrafe in der Schweiz vergleichbar sein. Nach dem Gesagten ist eine Verletzung von Art. 8 EMRK zu verneinen.</w:t>
      </w:r>
    </w:p>
    <w:p>
      <w:r>
        <w:rPr>
          <w:b/>
        </w:rPr>
        <w:t>E. 3.7</w:t>
      </w:r>
    </w:p>
    <w:p>
      <w:r>
        <w:t>Schliesslich greift auch der Einwand des Beschwerdeführers nicht, wonach die Auslieferung aufgrund der nach Schweizer Recht am 4. Dezember 2023 eingetreten Verjährung zu verweigert sei (act. 1, S. 13). Laut Art. 8 des hier anwendbaren EU-Auslieferungsübereinkommens (vgl. oben E. 1.2) darf die Auslieferung nicht mit der Begründung abgelehnt werden, die Strafverfol- gung oder die Strafvollstreckung sei nach den Rechtsvorschriften des er- suchten Staates verjährt.</w:t>
      </w:r>
    </w:p>
    <w:p>
      <w:r>
        <w:t>- 17 -</w:t>
      </w:r>
    </w:p>
    <w:p>
      <w:r>
        <w:rPr>
          <w:b/>
        </w:rPr>
        <w:t>E. 3.8</w:t>
      </w:r>
    </w:p>
    <w:p>
      <w:r>
        <w:t>Andere Auslieferungshindernisse macht der Beschwerdeführer vorliegend weder geltend noch sind solche ersichtlich. Nachdem die Schweiz aufgrund der hier anwendbaren Staatsverträge grundsätzlich verpflichtet ist, den Be- schwerdeführer an Polen auszuliefern (supra E. 3.1.1) der Beschwerdefüh- rer gegen seine Auslieferung keine zu bejahenden Auslieferungshindernisse geltend macht und solche auch nicht ersichtlich sind, bleibt für eine Abwei- sung des Auslieferungsersuchens vorliegend kein Raum.</w:t>
      </w:r>
    </w:p>
    <w:p>
      <w:r>
        <w:rPr>
          <w:b/>
        </w:rPr>
        <w:t>E. 4</w:t>
      </w:r>
    </w:p>
    <w:p>
      <w:r>
        <w:t>Nach dem Gesagten ist die Beschwerde abzuweisen.</w:t>
      </w:r>
    </w:p>
    <w:p>
      <w:r>
        <w:rPr>
          <w:b/>
        </w:rPr>
        <w:t>E. 5.1</w:t>
      </w:r>
    </w:p>
    <w:p>
      <w:r>
        <w:t>Bei diesem Ausgang des Verfahrens hätte der Beschwerdeführer die Ge- richtskosten zu tragen. Der Beschwerdeführer ersucht um Gewährung der unentgeltlichen Rechtspflege und -verbeiständung (RP.2025.46).</w:t>
      </w:r>
    </w:p>
    <w:p>
      <w:r>
        <w:rPr>
          <w:b/>
        </w:rPr>
        <w:t>E. 5.2</w:t>
      </w:r>
    </w:p>
    <w:p>
      <w:r>
        <w:t>Die Beschwerdekammer befreit eine Partei, die nicht über die erforderlichen Mittel verfügt, auf Antrag von der Bezahlung der Verfahrenskosten, sofern ihr Begehren nicht aussichtslos erscheint (Art. 65 Abs. 1 VwVG). Gemäss bundesgerichtlicher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 gung zu einem Prozess entschliessen würde. Ob im Einzelfall genügende Erfolgsaussichten bestehen, beurteilt sich nach den Verhältnissen zur Zeit, zu der das Gesuch um unentgeltliche Rechtspflege gestellt wird (BGE 138 III 217 E. 2.2.4; 129 I 129 E. 2.3.1; 128 I 225 E. 2.5.3; 124 I 304 E. 2c).</w:t>
      </w:r>
    </w:p>
    <w:p>
      <w:r>
        <w:rPr>
          <w:b/>
        </w:rPr>
        <w:t>E. 5.3</w:t>
      </w:r>
    </w:p>
    <w:p>
      <w:r>
        <w:t>Die Beschwerde kann angesichts der familiären Situation des Beschwerde- führers nicht als von vornherein aussichtslos bezeichnet werden (vgl. E. 3.6) und die Mittellosigkeit ist ausgewiesen. Damit ist das Gesuch um unentgelt- liche Rechtspflege und -verbeiständung gutzuheissen, weshalb auf die Er- hebung einer Gerichtsgebühr zu verzichten ist.</w:t>
      </w:r>
    </w:p>
    <w:p>
      <w:r>
        <w:rPr>
          <w:b/>
        </w:rPr>
        <w:t>E. 5.4</w:t>
      </w:r>
    </w:p>
    <w:p>
      <w:r>
        <w:t>Rechtsanwältin Claudia Hazeraj ist für das Verfahren vor dem Bundesstraf- gericht zur amtlichen Beiständin des Beschwerdeführers zu ernennen. Das Honorar des amtlichen Rechtsbeistandes wird im Verfahren vor der Be- schwerdekammer nach Ermessen festgesetzt, wenn spätestens mit der ein- zigen oder letzten Eingabe keine Kostennote eingereicht wird (Art. 12 Abs. 2</w:t>
      </w:r>
    </w:p>
    <w:p>
      <w:r>
        <w:t>- 18 -</w:t>
      </w:r>
    </w:p>
    <w:p>
      <w:r>
        <w:t>des Reglements des Bundesstrafgerichts vom 31. August 2010 über die Kosten, Gebühren und Entschädigungen in Bundesstrafverfahren [BStKR; SR 173.713.162]). Da dem Gericht keine Kostennote eingereicht wurde, ist die Entschädigung ermessensweise festzusetzen. Angesichts des der Rechtsvertreterin angefallenen Aufwandes erscheint eine Entschädigung an Rechtsanwältin Claudia Hazeraj von Fr. 1'500.-- (inkl. MwSt.) als angemes- sen.</w:t>
      </w:r>
    </w:p>
    <w:p>
      <w:r>
        <w:rPr>
          <w:b/>
        </w:rPr>
        <w:t>E. 5.5</w:t>
      </w:r>
    </w:p>
    <w:p>
      <w:r>
        <w:t>Gelangt der Beschwerdeführer später zu hinreichenden Mitteln, so ist er ver- pflichtet, den Betrag von Fr. 1'500.-- der Bundesstrafgerichtskasse zurück- zuerstatten (Art. 65 Abs. 4 VwVG).</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