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RR.2025.116 vom 7. August 2025</w:t>
      </w:r>
    </w:p>
    <w:p>
      <w:r>
        <w:t>Bundesstrafgericht, 2025-08-07, DE</w:t>
      </w:r>
    </w:p>
    <w:p>
      <w:r>
        <w:rPr>
          <w:b/>
        </w:rPr>
        <w:t xml:space="preserve">Quelle: </w:t>
      </w:r>
      <w:r>
        <w:t>https://mcp.opencaselaw.ch/entscheid/bstger_RR.2025.116</w:t>
      </w:r>
    </w:p>
    <w:p>
      <w:r>
        <w:t>FR: TPF RR.2025.116 du 7 août 2025</w:t>
      </w:r>
    </w:p>
    <w:p>
      <w:r>
        <w:t>IT: TPF RR.2025.116 del 7 agosto 2025</w:t>
      </w:r>
    </w:p>
    <w:p>
      <w:pPr>
        <w:pStyle w:val="Heading2"/>
      </w:pPr>
      <w:r>
        <w:t>Regeste</w:t>
      </w:r>
    </w:p>
    <w:p>
      <w:r>
        <w:t>Auslieferung an Rumänien; Auslieferungsentscheid (Art. 55 IRSG)</w:t>
      </w:r>
    </w:p>
    <w:p>
      <w:pPr>
        <w:pStyle w:val="Heading2"/>
      </w:pPr>
      <w:r>
        <w:t>Erwägungen</w:t>
      </w:r>
    </w:p>
    <w:p>
      <w:r>
        <w:rPr>
          <w:b/>
        </w:rPr>
        <w:t>E. 1</w:t>
      </w:r>
    </w:p>
    <w:p>
      <w:r>
        <w:t>Für den Auslieferungsverkehr zwischen der Schweiz und Rumänien sind pri- mär die einschlägigen Staatsverträge, namentlich das Europäische Auslie- ferungsübereinkommen vom 13. Dezember 1957 (EAUe; SR 0.353.1), sowie das Verfahrensrecht des ersuchten Staates massgebend (für eine vollstän- dige Übersicht über die anwendbaren Rechtsgrundlagen siehe zuletzt den Entscheid des Bundesstrafgerichts RR.2025.106 vom 23. Juli 2025 E. 1.1– 1.3).</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Beschwerdeführer ist als Adressat des Auslieferungsentscheids ohne Weiteres zu dessen Anfechtung legitimiert. Nachdem er seine Beschwerde- schrift innerhalb der hierzu anberaumten Nachfrist (vgl. Art. 52 Abs. 2 VwVG)</w:t>
      </w:r>
    </w:p>
    <w:p>
      <w:r>
        <w:t>- 4 -</w:t>
      </w:r>
    </w:p>
    <w:p>
      <w:r>
        <w:t>eigenhändig unterzeichnet und damit hinreichend verbessert hat, ist auf die fristgerecht erhobene Beschwerde einzutreten.</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w:t>
      </w:r>
    </w:p>
    <w:p>
      <w:r>
        <w:t>In seiner Eingabe bringt der Beschwerdeführer Folgendes vor (vgl. act. 1 bzw. act. 9):</w:t>
      </w:r>
    </w:p>
    <w:p>
      <w:r>
        <w:t>Ich möchte nicht nach Rumänien geschickt werden, weil ich meine Strafe hier in der Schweiz absitzen möchte. Ich gehe hier im Gefängnis täglich zur Arbeit und auch zur Schule, was ich sehr schätze. Ich habe noch ein paar Monate vor mir und möchte nicht nach Rumänien gehen, weil die Bedingungen im Gefängnis nicht gut sind. Und im Jahr 2021 hatte ich einige Prob- leme, als ich dort war. Ich danke Ihnen.</w:t>
      </w:r>
    </w:p>
    <w:p>
      <w:r>
        <w:t>Er wiederholt damit im Wesentlichen seine bereits im erstinstanzlichen Ver- fahren mehrfach vorgetragenen Äusserungen (siehe act. 7.0/10 Antworten auf die Fragen Nr. 4, 7 und 9; act. 7.0/13).</w:t>
      </w:r>
    </w:p>
    <w:p>
      <w:r>
        <w:rPr>
          <w:b/>
        </w:rPr>
        <w:t>E. 5</w:t>
      </w:r>
    </w:p>
    <w:p>
      <w:r>
        <w:t>Gemäss Art. 37 Abs. 1 IRSG kann die Auslieferung abgelehnt werden, wenn die Schweiz die Vollstreckung des ausländischen Strafentscheids überneh- men kann und dies im Hinblick auf die soziale Wiedereingliederung des Ver- folgten angezeigt erscheint. Jedoch kann eine Auslieferung nach ständiger Rechtsprechung in Fällen, in welchen – wie vorliegend – das EAUe Anwen- dung findet, nicht gestützt auf Art. 37 Abs. 1 IRSG verweigert werden (BGE 129 II 100 E. 3.1; 123 II 279 E. 2d S. 283; 122 II 485 E. 3a und 3b; vgl. zuletzt auch den Entscheid des Bundesstrafgerichts RR.2024.121 vom 11. Februar 2025 E. 10.2.1). Zudem setzt die Vollstreckung von Strafent- scheiden eines anderen Staates grundsätzlich ein ausdrückliches Ersuchen des betreffenden Staates voraus (vgl. Art. 94 Abs. 1 IRSG; BGE 129 II 100 E. 3.1; 120 Ib 120 E. 3c). Ein solches Ersuchen liegt im konkreten Fall nicht vor. Diesbezüglich kann auch auf die zutreffenden Erwägungen im ange- fochtenen Entscheid verwiesen werden (siehe act. 2, Ziff. II.6). Die Be- schwerde erweist sich in diesem Punkt als unbegründet.</w:t>
      </w:r>
    </w:p>
    <w:p>
      <w:r>
        <w:t>- 5 -</w:t>
      </w:r>
    </w:p>
    <w:p>
      <w:r>
        <w:rPr>
          <w:b/>
        </w:rPr>
        <w:t>E. 6</w:t>
      </w:r>
    </w:p>
    <w:p>
      <w:r>
        <w:t>Gestützt auf die vorliegend gegen den Beschwerdeführer ausgesprochene Freiheitsstrafe besteht angesichts der einschlägigen Rechtsgrundlagen eine Verpflichtung zur Auslieferung (vgl. Art. 1 und 2 Abs. 1 EAUe sowie Art. 35 Abs. 1 IRSG). Gegenüber einem Staat, mit dem die Schweiz durch das EAUe verbunden ist, kann die Auslieferung nicht mit Hinweis auf die Gering- fügigkeit des Strafrestes abgelehnt werden (BGE 112 Ib 59 E. 2a in fine; Entscheide des Bundesstrafgerichts RR.2025.17 vom 5. März 2025 E. 2.1; RR.2024.51 vom 25. Juni 2024 E. 6.4). Mit seinem blossen Hinweis auf die verbleibende Reststrafe kann der Beschwerdeführer ebenfalls nichts zu sei- nen Gunsten ableiten.</w:t>
      </w:r>
    </w:p>
    <w:p>
      <w:r>
        <w:rPr>
          <w:b/>
        </w:rPr>
        <w:t>E. 7.1</w:t>
      </w:r>
    </w:p>
    <w:p>
      <w:r>
        <w:t>Im Entscheid RR.2019.222 vom 9. Oktober 2019 nahm das Bundesstrafge- richt eine umfassende Analyse der aktuellen Haftbedingungen in Rumänien und damit eine einlässliche Überprüfung der bisherigen Auslieferungspraxis der Schweiz an Rumänien vor. Bis zu diesem Zeitpunkt wurden Auslieferun- gen nach Rumänien regelmässig ohne spezielle Garantien durchgeführt (Entscheid des Bundesstrafgerichts RR.2019.222 vom 9. Oktober 2019 E. 4.3.1–4.3.3). Es verwies weiter auf die Feststellungen der Organe des Eu- roparats und anderer Organisationen und Behörden, wonach es im Strafvoll- zug in Rumänien zu vielfachen und systematischen Verstössen gegen Art. 3 EMRK komme (a.a.O. E. 4). Gestützt darauf hielt es fest, im konkreten Fall sei objektiv und ernsthaft zu befürchten, dass dem Verfolgten in Rumänien eine schwerwiegende Verletzung der Menschenrechte drohe (a.a.O. E. 4.9). Dementsprechend formulierte es eine Reihe von Garantien, welche die Ge- fahr einer menschenrechtswidrigen Behandlung des Verfolgten ausreichend einschränken könne (a.a.O. E. 5.2). Das Bundesgericht ist auf die vom Ver- folgten gegen den erwähnten Entscheid erhobene Beschwerde nicht einge- treten (Urteil des Bundesgerichts 1C_560/2019 vom 1. November 2019).</w:t>
      </w:r>
    </w:p>
    <w:p>
      <w:r>
        <w:rPr>
          <w:b/>
        </w:rPr>
        <w:t>E. 7.2</w:t>
      </w:r>
    </w:p>
    <w:p>
      <w:r>
        <w:t>Mit Schreiben vom 28. Mai 2025 hat die ersuchende Behörde auch im vor- liegenden Fall die im eben erwähnten Entscheid formulierten Garantieerklä- rungen abgegeben (act. 7.0/6), womit das Risiko einer menschenrechtswid- rigen Behandlung des Beschwerdeführers behoben oder jedenfalls auf ein so geringes Mass herabgesetzt wird, dass es als nur noch theoretisch er- scheint. Mit seinem pauschalen Vorbringen, die Bedingungen im Gefängnis in Rumänien seien «nicht gut», oder mit dem Hinweis auf (nicht weiter kon- kretisierte) Probleme in der Vergangenheit vermag der Beschwerdeführer nicht darzutun, dass er aufgrund der konkreten Umstände seines Falles der Gefahr einer menschenrechtswidrigen Behandlung ausgesetzt wäre (vgl.</w:t>
      </w:r>
    </w:p>
    <w:p>
      <w:r>
        <w:t>- 6 -</w:t>
      </w:r>
    </w:p>
    <w:p>
      <w:r>
        <w:t>hierzu u.a. BGE 149 IV 376 E. 3.4 S. 384; TPF 2017 132 E. 7.3.2 S. 134 f.). Damit erweist sich die Beschwerde auch in diesem Punkt als unbegründet.</w:t>
      </w:r>
    </w:p>
    <w:p>
      <w:r>
        <w:rPr>
          <w:b/>
        </w:rPr>
        <w:t>E. 8</w:t>
      </w:r>
    </w:p>
    <w:p>
      <w:r>
        <w:t>Nach dem Gesagten erweist sich die Beschwerde zum vornherein als unbe- gründet. Auch aus den Akten ergeben sich keine anderweitigen Ausliefe- rungshindernisse. Die Beschwerde ist daher ohne Durchführung eines Schriftenwechsels abzuweisen (Art. 57 Abs. 1 VwVG e contrario).</w:t>
      </w:r>
    </w:p>
    <w:p>
      <w:r>
        <w:rPr>
          <w:b/>
        </w:rPr>
        <w:t>E. 9</w:t>
      </w:r>
    </w:p>
    <w:p>
      <w:r>
        <w:t>Bei diesem Ausgang des Verfahrens sind dessen Kosten dem unterliegen- den Beschwerdeführer aufzuerlegen (Art. 63 Abs. 1 VwVG). Die Gerichtsge- bühr ist auf Fr. 300.– festzusetzen (vgl. Art. 63 Abs. 5 VwVG i.V.m. Art. 73 StBOG sowie Art. 5 und 8 Abs. 3 lit. a des Reglements des Bundesstrafge- richts vom 31. August 2010 über die Kosten, Gebühren und Entschädigun- 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