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RR.2025.110 vom 20. Oktober 2025</w:t>
      </w:r>
    </w:p>
    <w:p>
      <w:r>
        <w:t>Bundesstrafgericht, 2025-10-20, DE</w:t>
      </w:r>
    </w:p>
    <w:p>
      <w:r>
        <w:rPr>
          <w:b/>
        </w:rPr>
        <w:t xml:space="preserve">Quelle: </w:t>
      </w:r>
      <w:r>
        <w:t>https://mcp.opencaselaw.ch/entscheid/bstger_RR.2025.110</w:t>
      </w:r>
    </w:p>
    <w:p>
      <w:r>
        <w:t>FR: TPF RR.2025.110 du 20 octobre 2025</w:t>
      </w:r>
    </w:p>
    <w:p>
      <w:r>
        <w:t>IT: TPF RR.2025.110 del 20 ottobre 2025</w:t>
      </w:r>
    </w:p>
    <w:p>
      <w:pPr>
        <w:pStyle w:val="Heading2"/>
      </w:pPr>
      <w:r>
        <w:t>Regeste</w:t>
      </w:r>
    </w:p>
    <w:p>
      <w:r>
        <w:t>Internationale Rechtshilfe in Strafsachen an die Ukraine. Parteistellung im Rechtshilfeverfahren (Art. 80b Abs. 1 i.V.m. Art 80h lit. b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vorliegend ergänzt durch das Übereinkommen vom 8. Novem- ber 1990 über Geldwäscherei sowie Ermittlung, Beschlagnahme und Einzie- hung von Erträgen aus Straftaten (GwUe; SR 0.311.53).</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145 IV 294</w:t>
      </w:r>
    </w:p>
    <w:p>
      <w:r>
        <w:t>- 5 -</w:t>
      </w:r>
    </w:p>
    <w:p>
      <w:r>
        <w:t>E. 2.1; 142 IV 250 E. 3; jeweils m.w.H.). Vorbehalten bleibt die Wahrung der Menschenrechte (BGE 145 IV 294 E. 2.1; 123 II 595 E. 7c; TPF 2020 64 E. 1.1).</w:t>
      </w:r>
    </w:p>
    <w:p>
      <w:r>
        <w:rPr>
          <w:b/>
        </w:rPr>
        <w:t>E. 1.2</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Erstinstanzliche Verfügungen der kantonalen Behörden und der Bundesbe- hörden unterliegen, soweit das Gesetz nichts anderes bestimmt, unmittelbar der Beschwerde (Art. 25 Abs. 1 IRSG). Im Bereich der «anderen» oder «klei- nen» Rechtshilfe sieht das IRSG vor, dass die Verfügung der ausführenden kantonalen Behörde oder der ausführenden Bundesbehörde, mit der das Rechtshilfeverfahren abgeschlossen wird, zusammen mit den vorangehen- den Zwischenverfügungen der Beschwerde an die Beschwerdekammer des Bundesstrafgerichts unterliegt (Art. 80e Abs. 1 IRSG). Der Schlussverfügung vorangehende Zwischenverfügungen können nur ausnahmsweise selbstän- dig angefochten werden, nämlich dann, wenn sie durch die Beschlagnahme von Vermögenswerten und Wertgegenständen oder durch die Anwesenheit von Personen, die am ausländischen Prozess beteiligt sind, einen unmittel- baren und nicht wiedergutzumachenden Nachteil bewirken (Art. 80e Abs. 2 lit. a und b IRSG). Die Aufzählung der selbständig anfechtbaren Zwischen- verfügungen ist gemäss bundesgerichtlicher Auslegung grundsätzlich ab- schliessend (BGE 126 II 495). Die Beschwerdefrist gegen die Schlussverfü- gung beträgt 30 Tage, gegen die Zwischenverfügung zehn Tage ab der schriftlichen Mitteilung der Verfügung (Art. 80k IRSG). Verneint die ausfüh- rende Behörde einer Person die Stellung als Partei im Rechtshilfeverfahren, ist dieser Entscheid nach der Rechtsprechung mit Bezug auf diese Person prozessual als Schlussverfügung zu behandeln (TPF 2020 129 E. 2.1 S. 132 m.w.H.). Zur Beschwerde ist dabei grundsätzlich berechtigt, wer der Vo- rinstanz vorwirft, sie habe die Legitimation zu Unrecht verneint (BGE 128 II 211 E. 2.2 S. 216 f.; 122 II 130 E. 1).</w:t>
      </w:r>
    </w:p>
    <w:p>
      <w:r>
        <w:rPr>
          <w:b/>
        </w:rPr>
        <w:t>E. 2.2</w:t>
      </w:r>
    </w:p>
    <w:p>
      <w:r>
        <w:t>Mit dem angefochtenen Schreiben vom 3. Juni 2025 verneinte die Beschwerdegegnerin die Parteistellung des Beschwerdeführers im Rechts- hilfeverfahren RH.23.0090 (act. 1.2). Damit ist der Beschwerdeführer befugt,</w:t>
      </w:r>
    </w:p>
    <w:p>
      <w:r>
        <w:t>- 6 -</w:t>
      </w:r>
    </w:p>
    <w:p>
      <w:r>
        <w:t>gegen diesen Entscheid Beschwerde zu führen. Auf die frist- und formge- recht eingereichte Beschwerde ist einzutreten.</w:t>
      </w:r>
    </w:p>
    <w:p>
      <w:r>
        <w:rPr>
          <w:b/>
        </w:rPr>
        <w:t>E. 3.1</w:t>
      </w:r>
    </w:p>
    <w:p>
      <w:r>
        <w:t>Der Beschwerdeführer bringt vor, die C. Group werde im Handelsregister seit dem 4. Juli 2023 als aufgelöst geführt, womit sie zum Zeitpunkt des Erlasses der Schlussverfügung vom 4. Dezember 2024 bereits aufgelöst und damit handlungsunfähig gewesen sei. Entsprechend habe die Gesellschaft die Schlussverfügung weder empfangen noch ein Rechtsmittel dagegen ergrei- fen können. Indem dem Beschwerdeführer die Parteistellung abgesprochen werde, werde die Schlussverfügung im Ergebnis niemandem gehörig eröff- net und niemand könne sich dagegen wehren. Bereits aus diesem Grund müsse dem Beschwerdeführer zwingend die Parteistellung zukommen. Des Weiteren sei der Beschwerdeführer als alleiniger Aktionär der C. Group an deren Konten wirtschaftlich berechtigt. Wieso die Bank fälschlicherweise nicht ihn als «beneficial owner» aufgeführt habe, entziehe sich seiner Kennt- nis. Es müsse sich um ein offensichtliches Versehen handeln, welches je- doch nichts an seiner alleinigen wirtschaftlichen Berechtigung am gegen- ständlichen Konto ändere. Überdies könne und müsse der Beschwerdefüh- rer den Nachweis, Begünstigter eines Liquidationserlöses der C. Group zu sein, für die Parteistellung nicht erbringen. Bei einer auf den BVI inkorporier- ten Gesellschaft könne eine Auflösung – anders als in der Schweiz – ohne Liquidation der Gesellschaft erfolgen. Eine aus dem Register gelöschte und aufgelöste («dissolved») Gesellschaft könne auch nicht liquidiert werden. Hierzu müsste die Gesellschaft zunächst wiederhergestellt («restored») und im Register eingetragen werden. Die C. Group sei infolge eines solchen ad- ministrativen «strike-off» aufgelöst und als «dissolved» im Handelsregister eingetragen worden, ohne dass vorgängig eine Liquidation stattgefunden hat. Ausserdem würde ein allfälliger (zukünftiger) Liquidationserlös dem Be- schwerdeführer als alleinigem Aktionär zustehen (act. 1, S. 7 ff.).</w:t>
      </w:r>
    </w:p>
    <w:p>
      <w:r>
        <w:rPr>
          <w:b/>
        </w:rPr>
        <w:t>E. 3.2.1</w:t>
      </w:r>
    </w:p>
    <w:p>
      <w:r>
        <w:t>Personen, gegen die sich das ausländische Strafverfahren richtet, können Verfügungen nur anfechten, wenn eine Rechtshilfemassnahme sie persön- lich und direkt betrifft und sie ein schutzwürdiges Interesse an deren Aufhe- bung oder Änderung haben (Art. 21 Abs. 3 IRSG). Persönlich und direkt be- troffen ist nur, wer sich in der Schweiz selber einer bestimmten Rechtshilfe- massnahme zu unterwerfen hat (BGE 116 Ib 106 E. 2a; Entscheid des Bun- desstrafgerichts RR.2022.81 vom 28. Februar 2023 E. 3.2.1). Die Berechtig- ten können dementsprechend am Verfahren teilnehmen und Einsicht in die Akten nehmen, soweit dies für die Wahrung ihrer Interessen notwendig ist</w:t>
      </w:r>
    </w:p>
    <w:p>
      <w:r>
        <w:t>- 7 -</w:t>
      </w:r>
    </w:p>
    <w:p>
      <w:r>
        <w:t>(Art. 80b Abs. 1 IRSG). Diese Berechtigung bzw. die sich daraus ergebende Parteistellung im Rechtshilfeverfahren ist demzufolge keine umfassende (GLESS/SCHAFFNER, Basler Kommentar, 2015, Art. 21 IRSG N. 60), sondern muss auf die Beschwerdelegitimation nach Art. 80h lit. b IRSG abgestimmt werden (BGE 127 II 104 E. 4b; TPF 2020 180 E. 4.2.3; TPF 2020 129 E. 4.1; TPF 2019 119 E. 5.2; siehe auch GSTÖHL, Geheimnisschutz im Verfahren der internationalen Rechtshilfe in Strafsachen, 2008, S. 271 ff.). Gemäss Art. 80h lit. b IRSG ist zur Beschwerdeführung berechtigt, wer persönlich und direkt von einer Rechtshilfemassnahme betroffen ist und ein schutzwürdiges Interesse an deren Aufhebung oder Änderung hat. Als persönlich und direkt betroffen im Sinne dieser Bestimmung gilt bei der Erhebung von Kontoinfor- mationen namentlich der Kontoinhaber (Art. 9a lit. a IRSV).</w:t>
      </w:r>
    </w:p>
    <w:p>
      <w:r>
        <w:rPr>
          <w:b/>
        </w:rPr>
        <w:t>E. 3.2.2</w:t>
      </w:r>
    </w:p>
    <w:p>
      <w:r>
        <w:t>Bloss wirtschaftlich an einem Bankkonto, Banksafe oder Wertschriftendepot Berechtigte sind im Gegensatz zu deren Inhaber grundsätzlich nicht legiti- miert, Rechtshilfemassnahmen anzufechten, welche die Bankverbindung betreffen (BGE 139 II 404 E. 2.1.1 S. 411 f. m.w.H.; Urteile des Bundesge- richts 1C_345/2020 vom 24. Juni 2020 E. 1.3; 1C_181/2020 vom 17. April 2020 E. 1.2; TPF 2008 172 E. 1.3). Eine Ausnahme lässt die Praxis zu, falls einzige Kontoinhaberin eine juristische Person war, die aufgelöst worden ist, und zudem keine Anhaltspunkte dafür bestehen, dass die Liquidation dieser Gesellschaft nur vorgeschoben wird bzw. rechtsmissbräuchlich erfolgte (BGE 139 II 404 E. 2.1.1 S. 411 f.; 137 IV 134 E. 5.2.1 S. 138 m.w.H.; 123 II 153 E. 2c-d S. 157 f.; Urteil des Bundesgerichts 1A.10/2000 vom 18. Mai 2000 E. 2c). Als rechtsmissbräuchlich gilt die Liquidation der juristischen Per- son, wenn sie scheinbar ohne wirtschaftlichen Grund und in zeitlicher Nähe der Eröffnung der Strafuntersuchung im ersuchenden Staat erfolgt (TPF 2009 183 E. 2.2.1 m.w.H.; s.a. Entscheid des Bundesstrafgerichts RR.2012.106 vom 29. November 2012 E. 2.2 f.).</w:t>
      </w:r>
    </w:p>
    <w:p>
      <w:r>
        <w:rPr>
          <w:b/>
        </w:rPr>
        <w:t>E. 3.2.3</w:t>
      </w:r>
    </w:p>
    <w:p>
      <w:r>
        <w:t>Die Beweislast für die wirtschaftliche Berechtigung und die Liquidation der Gesellschaft obliegt dem Rechtsuchenden. Darüber hinaus muss der wirt- schaftlich Berechtigte im Auflösungsakt eindeutig als Begünstigter des Liqui- dationsgewinns bezeichnet werden (Urteile des Bundesgerichts 1C_183/2012 vom 12. April 2012 E. 1.5; 1C_161/2011 vom 11. April 2011 E. 1.3; 1A.284/2003 vom 11. Februar 2004 E. 1; 1A.212/2001 vom 21. März 2002 E. 1.3.2; 1A.84/1999 vom 31. Mai 1999 E. 2c; Entscheid des Bun- desstrafgerichts RR.2009.151 vom 11. September 2009 E. 1.3.2). Der wirt- schaftlich Berechtigte muss auch beweisen, dass ihm der Liquidationserlös zugeflossen ist (Urteile des Bundesgerichts 1C_162/2018 vom 29. Mai 2018 E. 2.1.1; 1C_265/2018 vom 6. Juni 2018 E. 2.2; 1C_370/2012 vom 3. Okto- ber 2012 E. 2.7; je mit Hinweisen).</w:t>
      </w:r>
    </w:p>
    <w:p>
      <w:r>
        <w:t>- 8 -</w:t>
      </w:r>
    </w:p>
    <w:p>
      <w:r>
        <w:rPr>
          <w:b/>
        </w:rPr>
        <w:t>E. 3.3</w:t>
      </w:r>
    </w:p>
    <w:p>
      <w:r>
        <w:t>Der Umstand allein, dass der Beschwerdeführer der Alleinaktionär der C. Group ist, reicht für den Nachweis der wirtschaftlichen Berechtigung am hier gegenständlichen Konto nicht aus. Dieser Punkt ist in erster Linie gestützt auf die Bankunterlagen zu beurteilen. Das hier gegenständliche Konto wurde nach der Übertragung der Aktien der C. Group von D. an den Beschwerde- führer im Oktober 2014 eröffnet. In den vorliegenden Kontoeröffnungsunter- lagen wurde D. (der im ukrainischen Strafverfahren beschuldigter Bruder des Beschwerdeführers) als «beneficial owner» und der Beschwerdeführer als «Administrator» aufgeführt (Verfahrensakten, 1_707299_A, pag. 004777_00008). Das «Formular A», wo D. als wirtschaftlich Berechtig- ter aufgeführt wird, hat der Beschwerdeführer anlässlich der Kontoeröffnung am 2. Dezember 2014 im Beisein des Kundenberaters in Moskau unterzeich- net (Verfahrensakten, 1_707299_A, pag. 004777_00002 und 004777_00016). Im Juni 2017, mithin rund drei Jahre nach der Aktienüber- tragung an den Beschwerdeführer, bestätigte D. unterschriftlich gegenüber der Bank, der Kontrollinhaber der C. Group zu sein (Verfahrensakten, 1_707299_A, pag. 004777_00047 ff.). Auch gemäss den übrigen bankinter- nen Unterlagen war stets D. Gegenstand der Risiko- und Geldwäschereiab- klärungen (Verfahrensakten, 2_707299, pag. 004777_00308 ff.; 3_707299, pag. 004777_00348). Infolge interner Abklärung hielt die Bank am 21. Juni 2017 explizit fest, dass der Aktionär und Direktor der Kontoinhaberin mit dem wirtschaftlichen Berechtigten nicht übereinstimme (Verfahrensakten, 2_707299, pag. 004777_00309). Die vorliegenden Unterlagen deuten darauf hin, dass dem Beschwerdeführer lediglich formell die Stellung als Aktionär übertragen wurde, während der Beschuldigte D. weiterhin über die wirt- schaftliche Berechtigung am Vermögen der C. Group verfügte. Da seit Juni 2017 keine Bankunterlagen entstanden sind, woraus die wirtschaftliche Be- rechtigung des Beschwerdeführers am Gesellschaftskonto hervorgehen würde, kann von einem Versehen seitens der Bank keine Rede sein.</w:t>
      </w:r>
    </w:p>
    <w:p>
      <w:r>
        <w:rPr>
          <w:b/>
        </w:rPr>
        <w:t>E. 3.4</w:t>
      </w:r>
    </w:p>
    <w:p>
      <w:r>
        <w:t>Nach dem Gesagten ist die wirtschaftliche Berechtigung des Beschwerde- führers am von der Rechtshilfemassnahme betroffenen Konto nicht nachge- wiesen. Bei diesem Ergebnis erübrigt sich die Prüfung der Ausführungen des Beschwerdeführers im Zusammenhang mit dem Nachweis des Liquidations- erlöses.</w:t>
      </w:r>
    </w:p>
    <w:p>
      <w:r>
        <w:rPr>
          <w:b/>
        </w:rPr>
        <w:t>E. 4</w:t>
      </w:r>
    </w:p>
    <w:p>
      <w:r>
        <w:t>Somit erweist sich die Beschwerde als unbegründet und ist abzuweisen.</w:t>
      </w:r>
    </w:p>
    <w:p>
      <w:r>
        <w:t>- 9 -</w:t>
      </w:r>
    </w:p>
    <w:p>
      <w:r>
        <w:rPr>
          <w:b/>
        </w:rPr>
        <w:t>E. 5</w:t>
      </w:r>
    </w:p>
    <w:p>
      <w:r>
        <w:t>Bei diesem Ausgang des Verfahrens sind die Gerichtskosten dem Be- schwerdeführer aufzuerlegen (Art. 63 Abs. 1 VwVG). Die Gerichtsgebühr ist unter Berücksichtigung des Nebenverfahrens RP.2025.41 auf Fr. 5'000.-- festzusetzen (vgl. Art. 63 Abs. 5 VwVG i.V.m. Art. 73 StBOG sowie Art. 5 und 8 Abs. 3 lit. a des Reglements des Bundesstrafgerichts vom 31. August 2010 über die Kosten, Gebühren und Entschädigungen in Bundesstrafver- fahren [BStKR; SR 173.713.162]), unter Anrechnung des geleisteten Kos- tenvorschusses in derselben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