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RR.2025.109 vom 7. August 2025</w:t>
      </w:r>
    </w:p>
    <w:p>
      <w:r>
        <w:t>Bundesstrafgericht, 2025-08-07, DE</w:t>
      </w:r>
    </w:p>
    <w:p>
      <w:r>
        <w:rPr>
          <w:b/>
        </w:rPr>
        <w:t xml:space="preserve">Quelle: </w:t>
      </w:r>
      <w:r>
        <w:t>https://mcp.opencaselaw.ch/entscheid/bstger_RR.2025.109</w:t>
      </w:r>
    </w:p>
    <w:p>
      <w:r>
        <w:t>FR: TPF RR.2025.109 du 7 août 2025</w:t>
      </w:r>
    </w:p>
    <w:p>
      <w:r>
        <w:t>IT: TPF RR.2025.109 del 7 agosto 2025</w:t>
      </w:r>
    </w:p>
    <w:p>
      <w:pPr>
        <w:pStyle w:val="Heading2"/>
      </w:pPr>
      <w:r>
        <w:t>Regeste</w:t>
      </w:r>
    </w:p>
    <w:p>
      <w:r>
        <w:t>Internationale Rechtshilfe in Strafsachen an Polen; Beschlagnahme von Vermögenswerten (Art. 80e Abs. 2 lit. a IRSG)</w:t>
      </w:r>
    </w:p>
    <w:p>
      <w:pPr>
        <w:pStyle w:val="Heading2"/>
      </w:pPr>
      <w:r>
        <w:t>Erwägungen</w:t>
      </w:r>
    </w:p>
    <w:p>
      <w:r>
        <w:rPr>
          <w:b/>
        </w:rPr>
        <w:t>E. 1</w:t>
      </w:r>
    </w:p>
    <w:p>
      <w:r>
        <w:t>Auf Beschwerdeverfahren in internationalen Rechtshilfeangelegenheiten sind die Bestimmungen des VwVG anwendbar (Art. 39 Abs. 2 lit. b i.V.m. Art. 37 Abs. 2 lit. a Ziff. 1 StBOG), wenn das IRSG nichts anderes bestimmt (Art. 12 Abs. 1 IRSG).</w:t>
      </w:r>
    </w:p>
    <w:p>
      <w:r>
        <w:rPr>
          <w:b/>
        </w:rPr>
        <w:t>E. 2</w:t>
      </w:r>
    </w:p>
    <w:p>
      <w:r>
        <w:t>August 2021).</w:t>
      </w:r>
    </w:p>
    <w:p>
      <w:r>
        <w:t>- 5 -</w:t>
      </w:r>
    </w:p>
    <w:p>
      <w:r>
        <w:rPr>
          <w:b/>
        </w:rPr>
        <w:t>E. 2.1</w:t>
      </w:r>
    </w:p>
    <w:p>
      <w:r>
        <w:t>Einer Schlussverfügung in Rechtshilfeangelegenheiten vorangehende Zwi- schenverfügungen können nur selbständig angefochten werden,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rPr>
          <w:b/>
        </w:rPr>
        <w:t>E. 2.2</w:t>
      </w:r>
    </w:p>
    <w:p>
      <w:r>
        <w:t>Die beschwerdeführende Person muss diesfalls nach der bundesgerichtli- chen Rechtsprechung mit konkreten Angaben glaubhaft machen, inwiefern die rechtshilfeweise Beschlagnahme von Vermögenswerten bzw. die</w:t>
      </w:r>
    </w:p>
    <w:p>
      <w:r>
        <w:t>- 4 -</w:t>
      </w:r>
    </w:p>
    <w:p>
      <w:r>
        <w:t>Verweigerung einer (Teil-)Freigabe zu einem nicht wieder gutzumachenden Nachteil führt. Dabei in Betracht kommen insbesondere drohende Verletzun- gen von konkreten vertraglichen Verpflichtungen, unmittelbar bevorstehende Betreibungsschritte, der drohende Entzug von behördlichen Bewilligungen oder das Entgehen von konkreten Geschäften. Der drohende unmittelbare und nicht wieder gutzumachende Nachteil muss glaubhaft gemacht werden. Dessen blosse Behauptung genügt nicht (zum Ganzen BGE 130 II 329 E. 2 S. 332; 128 II 353 E. 3 S. 354, je m.w.H.; Urteile des Bundesgerichts 1C_575/2013 vom 30. August 2013 E. 1.2; 1B_285/2011 vom 18. November 2011 E. 2.3.2; TPF 2008 7 E. 2.2).</w:t>
      </w:r>
    </w:p>
    <w:p>
      <w:r>
        <w:rPr>
          <w:b/>
        </w:rPr>
        <w:t>E. 2.3</w:t>
      </w:r>
    </w:p>
    <w:p>
      <w:r>
        <w:t>Anfechtungsobjekt bildet vorliegend eine im Rahmen eines Rechtshilfever- fahrens ergangene Zwischenverfügung, mit welcher verschiedene Wertge- genstände des Beschwerdeführers beschlagnahmt wurden. Um den für die Beschwerdeführung notwendigen nicht wieder gutzumachenden Nachteil darzutun, macht der Beschwerdeführer geltend, der Entzug der privat ge- nutzten Fahrzeuge bedeute einen erheblichen Eingriff in seine Eigentums- garantie. Ihm werde nicht nur die Verfügung über sein rechtmässiges Eigen- tum entzogen, sondern auch die Möglichkeit, dieses für persönliche und fa- miliäre Zwecke zu nutzen. Betroffen sei insbesondere die individuelle Mobi- lität, die Gestaltung des Familienlebens sowie die Teilnahme am gesell- schaftlichen Leben. Die Beschlagnahme beeinträchtige spürbar die freie Ausgestaltung der Freizeit, etwa die Möglichkeit, gemeinsam mit der Familie geplante Ferien durchzuführen. Die Massnahme habe damit unmittelbare Auswirkungen auf seine persönliche Lebensführung (act. 1, Ziff. IV.3, S. 7). Daneben verweist der Beschwerdeführer auf die Kosten für die Sicherstel- lung und Verwahrung der drei Fahrzeuge sowie auf den wegen der andau- ernden Verwahrung sinkenden Wert der Fahrzeuge (act. 1, Ziff. IV.3, S. 8).</w:t>
      </w:r>
    </w:p>
    <w:p>
      <w:r>
        <w:rPr>
          <w:b/>
        </w:rPr>
        <w:t>E. 2.4</w:t>
      </w:r>
    </w:p>
    <w:p>
      <w:r>
        <w:t>Vorab ist hierzu festzuhalten, dass es sich bei den Vorbringen des Be- schwerdeführers ausschliesslich um nicht weiter glaubhaft gemachte Be- hauptungen handelt. Davon abgesehen sind sie aber auch sonst nicht ge- eignet, um im Sinne der angeführten Rechtsprechung (siehe oben E. 2.2) einen nicht wieder gutzumachenden Nachteil gemäss Art. 80e Abs. 2 lit. a IRSG zu begründen. Was der Beschwerdeführer in erster Linie vorbringt, geht nicht über die normalerweise mit einer Beschlagnahme verbundenen Nachteile hinaus, die jede andere Privatperson in derselben Situation auch zu gewärtigen hätte. Diesen kann zudem durch die Nutzung öffentlicher Ver- kehrsmittel oder anderer Mobilitätsformen (z.B. Miete) entgegnet werden (vgl. zu einem vergleichbaren Fall schon den Entscheid RR.2021.141 vom</w:t>
      </w:r>
    </w:p>
    <w:p>
      <w:r>
        <w:rPr>
          <w:b/>
        </w:rPr>
        <w:t>E. 3</w:t>
      </w:r>
    </w:p>
    <w:p>
      <w:r>
        <w:t>Nach dem Gesagten ist das Vorliegen eines unmittelbaren nicht wieder gut- zumachenden Nachteils zu verneinen. Die Beschwerde erweist sich als of- fensichtlich unzulässig. Auf sie ist ohne weiteren Schriftenwechsel nicht ein- zutreten (vgl. Art. 57 Abs. 1 VwVG e contrario).</w:t>
      </w:r>
    </w:p>
    <w:p>
      <w:r>
        <w:rPr>
          <w:b/>
        </w:rPr>
        <w:t>E. 4</w:t>
      </w:r>
    </w:p>
    <w:p>
      <w:r>
        <w:t>Bei diesem Ausgang des Verfahrens sind dessen Kosten dem unterliegen- den Beschwerdeführer aufzuerlegen (Art. 63 Abs. 1 VwVG). Die Gerichtsge- bühr ist auf Fr. 500.– festzusetzen (vgl. Art. 63 Abs. 5 VwVG i.V.m. Art. 73 StBOG sowie Art. 5 und 8 Abs. 3 lit. b des Reglements des Bundesstrafge- richts vom 31. August 2010 über die Kosten, Gebühren und Entschädigun- 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