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RR.2025.102 vom 22. Juli 2025</w:t>
      </w:r>
    </w:p>
    <w:p>
      <w:r>
        <w:t>Bundesstrafgericht, 2025-07-22, DE</w:t>
      </w:r>
    </w:p>
    <w:p>
      <w:r>
        <w:rPr>
          <w:b/>
        </w:rPr>
        <w:t xml:space="preserve">Quelle: </w:t>
      </w:r>
      <w:r>
        <w:t>https://mcp.opencaselaw.ch/entscheid/bstger_RR.2025.102</w:t>
      </w:r>
    </w:p>
    <w:p>
      <w:r>
        <w:t>FR: TPF RR.2025.102 du 22 juillet 2025</w:t>
      </w:r>
    </w:p>
    <w:p>
      <w:r>
        <w:t>IT: TPF RR.2025.102 del 22 luglio 2025</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17.März 1978 (ZPII EAUe; SR 0.353.12) und vom 10. November 2010 (ZPIII</w:t>
      </w:r>
    </w:p>
    <w:p>
      <w:r>
        <w:t>- 5 -</w:t>
      </w:r>
    </w:p>
    <w:p>
      <w:r>
        <w:t>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 Nr. 32018R1862; Abl. L 312 vom 7. Dezember 2018, S. 56–106; abrufbar unter «Rechtssammlung zu den sektoriellen Abkommen mit der EU», 8.4 Weiterentwicklungen des Schengen-Besitzstands), sowie diejenigen Bestim- mungen des Übereinkommens vom 27. September 1996 über die Ausliefe- rung zwischen den Mitgliedstaaten der Europäischen Union (EU-Ausliefe- rungsübereinkommen; CELEX-Nr. 41996A1023(02); Abl. C 313 vom 23. Ok- 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w:t>
      </w:r>
    </w:p>
    <w:p>
      <w:r>
        <w:t>- 6 -</w:t>
      </w:r>
    </w:p>
    <w:p>
      <w:r>
        <w:t>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Juni 2025 zugestellt worden (act. 5.10), womit die Beschwerde fristgerecht erhoben worden ist. Der Beschwerdeführer ist als Adressat des Ausliefe- rungsentscheids ohne Weiteres zu dessen Anfechtung legitimiert. Auf die Beschwerde ist einzutreten.</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28. Mai 2025 ist dem Beschwerdeführer am</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t>- 7 -</w:t>
      </w:r>
    </w:p>
    <w:p>
      <w:r>
        <w:rPr>
          <w:b/>
        </w:rPr>
        <w:t>E. 4.1</w:t>
      </w:r>
    </w:p>
    <w:p>
      <w:r>
        <w:t>Der Beschwerdeführer wendet ein, der Haftbefehl sei nicht vollstreckbar (act. 1 S. 1).</w:t>
      </w:r>
    </w:p>
    <w:p>
      <w:r>
        <w:t>Zur Begründung führt er aus, im Haftbefehl müsse die Gefährdung klar und detailliert beschrieben werden. Das Fehlen dieser Angabe stelle einen er- heblichen Mangel dar. Der Haftbefehl sei daher nicht vollstreckbar (act. 1 S. 1). Der Beschwerdeführer bringt weiter vor, er sei nicht ordnungsgemäss vorgeladen worden und habe keine Kenntnis von der Vorladung gehabt, weshalb der Fluchtvorwurf ausgeschlossen sei, welcher zum Erlass des Haftbefehls geführt habe. Die deutschen Behörden seien aufzufordern, die konkrete Gefährdung seiner Tochter dazulegen und die Zustellung der Vor- ladung nachzuweisen (act. 1 S. 2).</w:t>
      </w:r>
    </w:p>
    <w:p>
      <w:r>
        <w:rPr>
          <w:b/>
        </w:rPr>
        <w:t>E. 4.2</w:t>
      </w:r>
    </w:p>
    <w:p>
      <w:r>
        <w:t>Gemäss Art. 12 Ziff. 2 lit. a EAUe ist dem Auslieferungsersuchen die Urschrift oder eine beglaubigte Abschrift eines vollstreckbaren verurteilenden Er- kenntnisses, eines Haftbefehls oder jeder anderen, nach den Formvorschrif- ten des ersuchenden Staates ausgestellten Urkunde mit gleicher Rechtswir- kung beizufügen.</w:t>
      </w:r>
    </w:p>
    <w:p>
      <w:r>
        <w:rPr>
          <w:b/>
        </w:rPr>
        <w:t>E. 4.3</w:t>
      </w:r>
    </w:p>
    <w:p>
      <w:r>
        <w:t>Dem vorliegenden Auslieferungsersuchen ist ein Haftbefehl beigefügt. Das Auslieferungsersuchen entspricht somit den vorstehenden Anforderungen von Art. 12 Ziff. 2 lit. a EAUe. Soweit der Beschwerdeführer im Haftbefehl einen erheblichen Mangel sieht und allein gestützt darauf die Vollstreckbar- keit des Haftbefehls bestreitet, ist er auf die Rechtsprechung zu verweisen, wonach die Rechtsmässigkeit und Gültigkeit von ausländischen Verfahrens- entscheiden nur ausnahmsweise, wenn besonders schwere Verletzungen des ausländischen Rechts vorliegen, überprüft wird. Dies ist der Fall, wenn das Rechtshilfeersuchen rechtsmissbräuchlich erscheint und Zweifel auf- kommen, ob die grundsätzlichen Verteidigungsrechte im ausländischen Ver- fahren gewahrt werden bzw. gewahrt worden sind (Urteil des Bundesgerich- tes 1A.15/2002 vom 5. März 2002 E. 3.2; Entscheid des Bundesstrafgerichts RR.2008.257 vom 4. Dezember 2008 E. 3.2). Was der Beschwerdeführer vorbringt (s. dazu auch nachfolgend), vermag eine nur ausnahmsweise vor- zunehmende Überprüfung der ausländischen Entscheide nach ausländi- schem Recht nicht zu rechtfertigen. Für das beantragte Einholen ergänzen- der Informationen besteht kein Anlass. Die Rüge des Beschwerdeführers geht nach dem Gesagten fehl.</w:t>
      </w:r>
    </w:p>
    <w:p>
      <w:r>
        <w:t>- 8 -</w:t>
      </w:r>
    </w:p>
    <w:p>
      <w:r>
        <w:rPr>
          <w:b/>
        </w:rPr>
        <w:t>E. 5.1</w:t>
      </w:r>
    </w:p>
    <w:p>
      <w:r>
        <w:t>Der Beschwerdeführer rügt sinngemäss die Sachdarstellung im Ausliefe- rungsersuchen und deren Würdigung, indem er vorbringt, die Staatsanwalt- schaft Braunschweig habe den für den Erfüllung des Straftatbestands der Verletzung der Unterhaltspflicht gemäss § 170 D-StGB vorausgesetzte kon- krete Gefährdung des Lebensbedarfs des Unterhaltsberechtigten nicht dar- gelegt (act. 1 S. 1). Er bestreitet sinngemäss seine Strafbarkeit auch mit der Begründung, er habe seit 2024 nachweislich freiwillige Unterhaltszahlungen ohne rechtliche Verpflichtung geleistet (act. 1 S. 2).</w:t>
      </w:r>
    </w:p>
    <w:p>
      <w:r>
        <w:rPr>
          <w:b/>
        </w:rPr>
        <w:t>E. 5.2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w:t>
      </w:r>
    </w:p>
    <w:p>
      <w:r>
        <w:t>Die ersuchte schweizerische Behörde hat sich beim Entscheid über ein aus- ländisches Auslieferungsersuchen nicht dazu auszusprechen, ob die darin angeführten Tatsachen zutreffen oder nicht. Sie hat somit weder Tat- noch Schuldfragen zu prüfen und grundsätzlich auch keine Beweiswürdigung vor- zunehmen. Sie ist vielmehr an die Darstellung des Sachverhalts im Ersuchen gebunden, soweit diese nicht durch offensichtliche Fehler, Lücken oder Wi- dersprüche sofort entkräftet wird (BGE 133 IV 76 E. 2.2 S. 79; 132 II 81 E. 2.1 S. 83 f.; Urteile des Bundesgerichts 1C_205/2007 vom 18. Dezember 2007 E. 3.2; 1A.297/2005 vom 13. Januar 2006 E. 2.3 und 3.5, je m.w.H.).</w:t>
      </w:r>
    </w:p>
    <w:p>
      <w:r>
        <w:rPr>
          <w:b/>
        </w:rPr>
        <w:t>E. 5.3</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EAUe; vgl. auch Art. 35 Abs. 1 lit. a IRSG). Nach Art. 2 Ziff. 1 EU-Auslieferungsübereinkommen genügt bereits eine Strafandrohung von sechs Monaten nach dem Recht des ersuchten Staates.</w:t>
      </w:r>
    </w:p>
    <w:p>
      <w:r>
        <w:t>- 9 -</w:t>
      </w:r>
    </w:p>
    <w:p>
      <w:r>
        <w:t>Für die Frage der beidseitigen Strafbarkeit nach schweizerischem Recht ist der im Ersuchen dargelegte Sachverhalt so zu subsumieren, wie wenn die Schweiz wegen des analogen Sachverhalts ein Strafverfahren eingeleitet hätte (BGE 132 II 81 E. 2.7.2 S. 90). Zu prüfen ist mithin, ob der im Ausland verübte inkriminierte Sachverhalt, sofern er – analog – in der Schweiz be- gangen worden wäre, die Tatbestandsmerkmale einer schweizerischen Strafnorm erfüllen würde. Die Strafnormen brauchen nach den Rechtssyste- men der Schweiz und des ersuchenden Staates nicht identisch zu sein (Urteil des Bundesgerichts 1A.125/2006 vom 10. August 2006, E. 2.1 m.w.H.).</w:t>
      </w:r>
    </w:p>
    <w:p>
      <w:r>
        <w:t>Wer seine familienrechtlichen Unterhalts- oder Unterstützungspflichten nicht erfüllt, obschon er über die Mittel dazu verfügt oder verfügen könnte, wird gemäss Art. 217 Abs. 1 StGB in der Schweiz auf Antrag mit Freiheitsstrafe bis zu drei Jahren oder Geldstrafe bestraft. Das Bundesgericht kam in dem mit Urteil 6B_72/2011 vom 19. Juli 2011 geprüften Fall zum Schluss, der be- treffende Unterhaltspflichtige habe den objektiven Tatbestand der Vernach- lässigung von Unterhaltspflichten gemäss Art. 217 StGB erfüllt, auch wenn er die geschuldeten Unterhaltsbeiträge vollständig, jedoch immer verspätet beglichen habe, da er über die erforderlichen finanziellen Mittel verfügt habe, rechtzeitig zu leisten. Da im beurteilten Fall der Pflichtige um seine Leis- tungspflicht gewusst habe, bejahte das Bundesgericht auch den subjektiven Tatbestand (E. 3.7).</w:t>
      </w:r>
    </w:p>
    <w:p>
      <w:r>
        <w:t>Die richtige Qualifikation nach ausländischem Recht stellt kein formelles Gültigkeitserfordernis dar und ist vom Auslieferungsrichter daher nicht zu überprüfen, wenn feststeht, dass der in den Auslieferungsunterlagen um- schriebene Sachverhalt den Tatbestand eines Auslieferungsdeliktes erfüllt (vgl. BGE 101 Ia 405 E. 4 S. 410 m.w.H.).</w:t>
      </w:r>
    </w:p>
    <w:p>
      <w:r>
        <w:rPr>
          <w:b/>
        </w:rPr>
        <w:t>E. 5.4</w:t>
      </w:r>
    </w:p>
    <w:p>
      <w:r>
        <w:t>Im Auslieferungsersuchen werfen die deutschen Behörden dem Beschwer- deführer zusammengefasst vor, er habe sich zwischen Mai 2021 und Dezember 2022 seinen gerichtlich festgelegten Unterhaltspflichten entzo- gen, obwohl er in der Lage gewesen wäre, den geschuldeten Unterhalt für seine Tochter in voller Höhe zu bezahlen (zu den Einzelheiten, s. act. 5.1A).</w:t>
      </w:r>
    </w:p>
    <w:p>
      <w:r>
        <w:t>Offensichtliche Mängel, welche den vorstehenden Sachverhaltsvorwurf ent- kräften würden, hat der Beschwerdeführer nicht vorgebracht und sind auch nicht ersichtlich. Entsprechend ist nachfolgend allein diese Sachdarstellung verbindlich und die vom Beschwerdeführer vorgenommene Sachverhaltser- gänzung mit Bezug auf dessen freiwillige Unterhaltszahlungen ab 2024 ist nicht massgeblich.</w:t>
      </w:r>
    </w:p>
    <w:p>
      <w:r>
        <w:t>- 10 -</w:t>
      </w:r>
    </w:p>
    <w:p>
      <w:r>
        <w:rPr>
          <w:b/>
        </w:rPr>
        <w:t>E. 5.5</w:t>
      </w:r>
    </w:p>
    <w:p>
      <w:r>
        <w:t>Bei einer prima facie Beurteilung des Sachverhaltsvorwurfs erscheinen die Tatbestandsvoraussetzungen von Art. 217 StGB ohne weiteres als erfüllt, wie bereits der Beschwerdegegner zutreffend im angefochtenen Ausliefe- rungsentscheid ausgeführt hat (act. 2 S. 3). Da die richtige Qualifikation nach ausländischem Recht nicht zu überprüfen ist (s. supra E. 5.2), erübrigen sich demgegenüber weitere Erwägungen zu den entsprechenden Vorbringen des Beschwerdeführers.</w:t>
      </w:r>
    </w:p>
    <w:p>
      <w:r>
        <w:rPr>
          <w:b/>
        </w:rPr>
        <w:t>E. 5.6</w:t>
      </w:r>
    </w:p>
    <w:p>
      <w:r>
        <w:t>Die Rügen gehen nach dem Gesagten fehl.</w:t>
      </w:r>
    </w:p>
    <w:p>
      <w:r>
        <w:rPr>
          <w:b/>
        </w:rPr>
        <w:t>E. 6.1</w:t>
      </w:r>
    </w:p>
    <w:p>
      <w:r>
        <w:t>Der Beschwerdeführer wendet ein, ihm sei im deutschen Verfahren keine Akteneinsicht gewährt worden, da keine Akten ins Ausland versendet wür- den. Die deutschen Behörden hätten sich auch geweigert, ihm einen Rechts- beistand zu stellen mit der Begründung, es sei keine Haftstrafe zu erwarten. Die Vorladung zur Verhandlung im Jahr 2023 sei unzulässigerweise direkt an ihn übermittelt worden (act. 1 S. 2).</w:t>
      </w:r>
    </w:p>
    <w:p>
      <w:r>
        <w:rPr>
          <w:b/>
        </w:rPr>
        <w:t>E. 6.2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- 11 -</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6.3</w:t>
      </w:r>
    </w:p>
    <w:p>
      <w:r>
        <w:t>Nach dem völkerrechtlichen Vertrauensprinzip wird vermutet, dass ein Staat wie Deutschland, welcher die EMRK sowie den UNO-Pakt II ratifiziert hat, ein Mitgliedsstaat der Europäischen Union und mit der Schweiz durch das EAUe verbunden ist, seine völkerrechtlichen Verpflichtungen wahrnimmt (Urteile des Bundesgerichts 1C_9/2015 vom 8. Januar 2015 E. 1.3; 1C_260/2013 vom 19. März 2013 E. 1.4; Entscheid des Bundesstrafgerichts RR.2018.72 vom 29. März 2018 E. 5.4; jeweils m.w.H.). Es ist auch von ei- nem wirksamen Rechtsschutz in Deutschland auszugehen. Der Beschwer- deführer kann wie bis anhin (s. act. 5.4 und 5.7) allfällige Verletzungen seiner Verfahrensrechte in Deutschland vor den übergeordneten Instanzen geltend machen. Im Übrigen können die zuständigen Stellen entgegen der Annahme des Beschwerdeführers gestützt auf Art. IIIA lit. a des Vertrags zwischen der Schweizerischen Eidgenossenschaft und der Bundesrepublik Deutschland über die Ergänzung des Europäischen Übereinkommens über die Rechts- hilfe in Strafsachen vom 20. April 1959 und die Erleichterung seiner Anwen- dung (SR 0.351.913.61) gerichtliche und andere behördliche Schriftstücke unmittelbar durch die Post an Personen in der Schweiz übersenden. Es ist nach dem Gesagten gestützt auf das völkerrechtliche Vertrauensprinzip da- von auszugehen, dass das deutsche Strafverfahren insgesamt die durch die EMRK und den UNO-Pakt II umschriebenen Minimalgarantien erfüllt. Die sinngemäss erhobenen Rügen des Beschwerdeführers erweisen sich daher als unbegründet.</w:t>
      </w:r>
    </w:p>
    <w:p>
      <w:r>
        <w:rPr>
          <w:b/>
        </w:rPr>
        <w:t>E. 7.1</w:t>
      </w:r>
    </w:p>
    <w:p>
      <w:r>
        <w:t>Der Beschwerdeführer bringt vor, seine Auslieferung sei unverhältnismässig. So gefährde sie die Fortsetzung seiner freiwilligen Unterhaltszahlungen, die den Lebensbedarf seiner Tochter sichern würden. Die Vorladung sei unzu- lässigerweise direkt an ihn versandt worden, weshalb er keine Kenntnis da- von gehabt habe. Er habe sich am 1. März 2023 ordnungsgemäss in der Schweiz angemeldet und sei hier berufstätig, weshalb der Fluchtvorwurf aus- geschlossen sei. Es seien mildere Mittel zu berücksichtigen, da die freiwilli- gen Zahlungen den Strafverfolgungszweck bereits erfüllen würden. Er stehe für weitere Nachweise oder eine Anhörung per Videokonferenz oder schrift- lich zur Verfügung, um die Angelegenheit zu klären, ohne dass eine</w:t>
      </w:r>
    </w:p>
    <w:p>
      <w:r>
        <w:t>- 12 -</w:t>
      </w:r>
    </w:p>
    <w:p>
      <w:r>
        <w:t>Auslieferung erforderlich sei. Auch sei er bereit, eine Woche vor einem neu anzuberaumenden Termin sich nach Braunschweig zu begeben und sich einer Meldeauflage zu unterwerfen. Die deutschen Behörden hätten sich geweigert, ihm einen Rechtsbeistand zu stellen, dies mit der Begründung es sei keine Haftstrafe zu erwarten (act. 1 S. 2).</w:t>
      </w:r>
    </w:p>
    <w:p>
      <w:r>
        <w:t>Mit Fax-Mitteilung vom 16. Juli 2025 teilt er mit, er sei in Verhandlung mit den deutschen Behörden zur Zusicherung des sicheren Geleits, weshalb er die Sistierung des Beschwerdeverfahrens beantrage (act. 6).</w:t>
      </w:r>
    </w:p>
    <w:p>
      <w:r>
        <w:rPr>
          <w:b/>
        </w:rPr>
        <w:t>E. 7.2</w:t>
      </w:r>
    </w:p>
    <w:p>
      <w:r>
        <w:t>Das Auslieferungsersuchen ist im Prinzip zu erledigen, es sei denn, die zu- ständige Behörde hätte den Rückzug des Ersuchens bekannt gegeben. Vor- liegend ist nicht nur kein Rückzug erfolgt, sondern die deutschen Behörden haben auf Nachfrage einen solchen explizit verworfen (s. supra lit. C). Die deutschen Behörden halten an ihrem Ersuchen um Auslieferung des Be- schwerdeführers fest und es bestehen keine Zweifel, dass sie die dem Be- schwerdeführer vorgeworfenen Straftaten verfolgen und beurteilen wollen. Die vom Beschwerdeführer in der Beschwerde angeführten Gründe wider- sprechen dem deklarierten Strafverfolgungsinteresse der deutschen Behör- den und vermögen ohnehin nicht, die staatsvertragliche Auslieferungsver- pflichtung der Schweiz aufzuheben. Dies gilt auch für seine mit Fax-Mittei- lung vorgebrachte Argumentation, wonach er mit den deutschen Behörden über das sichere Geleit zur Hauptverhandlung am Verhandeln sei. Allein mit seiner Präsenz an der Hauptverhandlung durch sicheres Geleit ist weder der Abschluss der Strafverfolgung noch die allfällige Strafvollstreckung sicher- gestellt. Sind die staatsvertraglichen Auslieferungsvoraussetzungen, wie vorliegend, erfüllt, ist die Schweiz staatsvertraglich zur Auslieferung ver- pflichtet (s. supra E. 5.3) und eine Sistierung des Beschwerdeverfahrens ist ausgeschlossen, weshalb sich Weiterungen mit der in formeller Hinsicht aus- serdem ungenügenden Fax-Mitteilung erübrigen (s. zum Erfordernis der Schriftlichkeit Art. 21 Abs. 1 VwVG i.V.m. Art. 39 Abs. 2 lit. b StBOG). Dem ersuchten Staat stehen auch keine milderen Massnahmen zur Auslieferung zur Verfügung. Hingegen hätte sich der Beschwerdeführer selber von Beginn weg den deutschen Behörden stellen und so das Auslieferungsverfahren samt Vollstreckung des Auslieferungsentscheids verhindern können. Nach dem Gesagten geht auch die Verhältnismässigkeitsrüge fehl.</w:t>
      </w:r>
    </w:p>
    <w:p>
      <w:r>
        <w:rPr>
          <w:b/>
        </w:rPr>
        <w:t>E. 8</w:t>
      </w:r>
    </w:p>
    <w:p>
      <w:r>
        <w:t>Andere Gründe, welche einer Auslieferung entgegenstehen könnten, sind weder ersichtlich noch werden solche geltend gemacht. Die Beschwerde ist nach dem Gesagten in allen Punkten offensichtlich unbegründet und ist da- her ohne Durchführung eines Schriftenwechsels abzuweisen.</w:t>
      </w:r>
    </w:p>
    <w:p>
      <w:r>
        <w:t>- 13 -</w:t>
      </w:r>
    </w:p>
    <w:p>
      <w:r>
        <w:rPr>
          <w:b/>
        </w:rPr>
        <w:t>E. 9</w:t>
      </w:r>
    </w:p>
    <w:p>
      <w:r>
        <w:t>Bei diesem Ausgang des Verfahrens sind die Gerichtskosten dem Be- schwerdeführer aufzuerlegen (Art. 63 Abs. 1 VwVG). Unter Berücksichtigung aller relevanten Umstände ist die Gerichtsgebühr auf Fr. 2‘000.-- festzu- setzen (vgl. Art. 63 Abs. 5 VwVG i.V.m. Art. 73 StBOG sowie Art. 5 und 8 Abs. 3 lit. a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