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RR.2024.88 vom 6. September 2024</w:t>
      </w:r>
    </w:p>
    <w:p>
      <w:r>
        <w:t>Bundesstrafgericht, 2024-09-06, DE</w:t>
      </w:r>
    </w:p>
    <w:p>
      <w:r>
        <w:rPr>
          <w:b/>
        </w:rPr>
        <w:t xml:space="preserve">Quelle: </w:t>
      </w:r>
      <w:r>
        <w:t>https://mcp.opencaselaw.ch/entscheid/bstger_RR.2024.88</w:t>
      </w:r>
    </w:p>
    <w:p>
      <w:r>
        <w:t>FR: TPF RR.2024.88 du 6 septembre 2024</w:t>
      </w:r>
    </w:p>
    <w:p>
      <w:r>
        <w:t>IT: TPF RR.2024.88 del 6 settembre 2024</w:t>
      </w:r>
    </w:p>
    <w:p>
      <w:pPr>
        <w:pStyle w:val="Heading2"/>
      </w:pPr>
      <w:r>
        <w:t>Regeste</w:t>
      </w:r>
    </w:p>
    <w:p>
      <w:r>
        <w:t>Internationale Rechtshilfe in Strafsachen an Deutschland;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Aufl. 2021, N. 620; NYFFENEGGER, in: Auer/Müller/Schindler [Hrsg.], Kom- mentar zum Bundesgesetz über das Verwaltungsverfahren, 2008, Art. 11 VwVG N. 17);</w:t>
      </w:r>
    </w:p>
    <w:p>
      <w:r>
        <w:t>- Prozesshandlungen, die ohne gültige Vollmacht oder von einer handlungs- unfähigen Person vorgenommen werden, ungültig sind, weshalb auf ein Gesuch oder auf ein Rechtsmittel, das von einer nicht vertretungsbefugten Person eingereicht worden ist, nicht eingetreten wird (KIENER/RÜTSCHE/ KUHN, a.a.O., N. 621; MARANTELLI-SONANINI/HUBER, in: Waldmann/Kraus- kopf [Hrsg.], Praxiskommentar Verwaltungsverfahrensgesetz, 3. Aufl. 2023, Art. 11 VwVG N. 28; NYFFENEGGER, a.a.O., Art. 11 VwVG N. 21);</w:t>
      </w:r>
    </w:p>
    <w:p>
      <w:r>
        <w:t>- die vorliegende, für A. eingereichte Beschwerde nicht dessen Unterschrift aufweist, sondern nur «in Vertretung und im Auftrag» durch B. unterzeichnet worden ist;</w:t>
      </w:r>
    </w:p>
    <w:p>
      <w:r>
        <w:t>- die als Vertreterin auftretende B. daher unter Androhung der Folge des Nicht- eintretens (fett gedruckt) aufgefordert wurde, bis 19. August 2024 eine schriftliche Vollmacht einzureichen, welche sie zur Beschwerdeführung für A. ermächtige (act. 3);</w:t>
      </w:r>
    </w:p>
    <w:p>
      <w:r>
        <w:t>- 4 -</w:t>
      </w:r>
    </w:p>
    <w:p>
      <w:r>
        <w:t>- sie diese Frist ungenutzt verstreichen liess;</w:t>
      </w:r>
    </w:p>
    <w:p>
      <w:r>
        <w:t>- auf die Beschwerde daher androhungsgemäss nicht einzutreten ist (siehe zuletzt auch die Entscheide des Bundesstrafgerichts RR.2023.186 vom 17. Januar 2024 und RR.2022.116 vom 11. Oktober 2022);</w:t>
      </w:r>
    </w:p>
    <w:p>
      <w:r>
        <w:t>- die Verfahrenskosten bei diesem Ausgang des Verfahrens der vollmachtlo- sen Vertreterin aufzuerlegen sind (Entscheid des Bundesstrafgerichts RR.2020.211 vom 9. Oktober 2020 mit Hinweis; siehe auch MARANTELLI-SO- NANINI/HUBER, a.a.O.);</w:t>
      </w:r>
    </w:p>
    <w:p>
      <w:r>
        <w:t>- die Gerichtsgebühr auf Fr. 500.– festzusetzen ist (vgl. Art. 63 Abs. 5 VwVG i.V.m. Art. 73 StBOG und Art. 5 und 8 Abs. 3 lit. a des Reglements des Bundesstrafgerichts vom 31. August 2010 über die Kosten, Gebühren und Entschädigungen in Bundesstrafverfahren [BStKR; SR 173.713.162]), unter Anrechnung des entsprechenden Betrags am geleisteten Kostenvorschuss von Fr. 3'000.– (act. 3 und 5);</w:t>
      </w:r>
    </w:p>
    <w:p>
      <w:r>
        <w:t>- die Bundesstrafgerichtskasse anzuweisen ist, B. Fr. 2'500.– zurückzuerstat- ten;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