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RR.2024.86 vom 23. Oktober 2025</w:t>
      </w:r>
    </w:p>
    <w:p>
      <w:r>
        <w:t>Bundesstrafgericht, 2025-10-23, DE</w:t>
      </w:r>
    </w:p>
    <w:p>
      <w:r>
        <w:rPr>
          <w:b/>
        </w:rPr>
        <w:t xml:space="preserve">Quelle: </w:t>
      </w:r>
      <w:r>
        <w:t>https://mcp.opencaselaw.ch/entscheid/bstger_RR.2024.86</w:t>
      </w:r>
    </w:p>
    <w:p>
      <w:r>
        <w:t>FR: TPF RR.2024.86 du 23 octobre 2025</w:t>
      </w:r>
    </w:p>
    <w:p>
      <w:r>
        <w:t>IT: TPF RR.2024.86 del 23 ottobre 2025</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der Schweiz und Deutschland sind primär das Europäische Übereinkommen vom 20. April 1959 über die Rechtshilfe in Strafsachen (EUeR; SR 0.351.1), das hierzu ergangene zweite Zusatzproto- koll vom 8. November 2001 (ZPII EUeR; SR 0.351.12) sowie der Vertrag vom 13. November 1969 zwischen der Schweizerischen Eidgenossenschaft und der Bundesrepublik Deutschland über die Ergänzung des EUeR und die Erleichterung seiner Anwendung (SR 0.351.913.61) massgebend. Ausser- dem gelangen die Bestimmungen der Art. 48 ff. des Übereinkommens vom 19. Juni 1990 zur Durchführung des Übereinkommens von Schengen vom 14. Juni 1985 (Schengener Durchführungsübereinkommen [SDÜ]; CELEX- Nr. 42000A0922[02]; Abl. L 239 vom 22. September 2000, S. 19–62; Text nicht publiziert in der SR, jedoch abrufbar auf der Website der Schweizeri- schen Eidgenossenschaft unter «Rechtssammlung zu den sektoriellen Ab- kommen mit der EU», 8.1 Anhang A; https://www.fedlex.admin.ch/de/sector- specific-agreements/EU-acts-register/8) zur Anwendung (TPF 2009 111 E. 1.2). Günstigere Bestimmungen bilateraler oder multilateraler Überein- künfte zwischen den Vertragsparteien bleiben unberührt (Art. 48 Abs. 2 SDÜ; Art. 26 Abs. 2 und 3 EUeR; Art. 28 ZPII EUeR).</w:t>
      </w:r>
    </w:p>
    <w:p>
      <w:r>
        <w:rPr>
          <w:b/>
        </w:rPr>
        <w:t>E. 1.2</w:t>
      </w:r>
    </w:p>
    <w:p>
      <w:r>
        <w:t>Soweit diese Staatsverträge bestimmte Fragen nicht abschliessend regeln, finden das Bundesgesetz vom 20. März 1981 (Rechtshilfegesetz, IRSG; SR</w:t>
      </w:r>
    </w:p>
    <w:p>
      <w:r>
        <w:t>- 4 -</w:t>
      </w:r>
    </w:p>
    <w:p>
      <w:r>
        <w:t>351.1) und die Verordnung vom 24. Februar 1982 über internationale Rechtshilfe in Strafsachen (Rechtshilfeverordnung, IRSV; SR 351.11) An- wendung (Art. 1 Abs. 1 lit. b IRSG). Das innerstaatliche Recht gelangt nach dem Günstigkeitsprinzip auch dann zur Anwendung, wenn es geringere An- forderungen an die Rechtshilfe stellt (BGE 149 IV 376 E. 2.1; 148 IV 314 E. 2.1; 147 II 432 E. 3.1; 145 IV 294 E. 2.1; jeweils m.w.H.). Vorbehalten bleibt die Wahrung der Menschenrechte (BGE 145 IV 294 E. 2.1; 123 II 595 E. 7c; TPF 2020 64 E. 1.1).</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w:t>
      </w:r>
    </w:p>
    <w:p>
      <w:r>
        <w:t>Die Schlussverfügung der ausführenden kantonalen oder der ausführenden Bundesbehörde unterliegt zusammen mit den vorangehenden Zwischenver- fügungen der Beschwerde an die Beschwerdekammer des Bundesstrafge- richts (Art. 80e Abs. 1 IRSG). Die entsprechende Beschwerdefrist beträgt 30 Tage (Art. 80k IRSG). Zur Beschwerdeführung ist berechtigt, wer persön- lich und direkt von einer Rechtshilfemassnahme betroffen ist und ein schutz- würdiges Interesse an deren Aufhebung oder Änderung hat (Art. 80h lit. b IRSG). Als persönlich und direkt betroffen im Sinne des Art. 80h lit. b IRSG gilt namentlich der Kontoinhaber bei der Erhebung von Kontoinformationen (Art. 9a lit. a IRSV).</w:t>
      </w:r>
    </w:p>
    <w:p>
      <w:r>
        <w:rPr>
          <w:b/>
        </w:rPr>
        <w:t>E. 2.2</w:t>
      </w:r>
    </w:p>
    <w:p>
      <w:r>
        <w:t>Die Beschwerdekammer ist für die Behandlung der vorliegenden Be- schwerde zuständig. Das Vorliegen der übrigen Eintretensvoraussetzungen kann offenbleiben, da sich die Beschwerde, wie sich zeigen wird, als unbe- gründet erweist.</w:t>
      </w:r>
    </w:p>
    <w:p>
      <w:r>
        <w:rPr>
          <w:b/>
        </w:rPr>
        <w:t>E. 3</w:t>
      </w:r>
    </w:p>
    <w:p>
      <w:r>
        <w:t>Die Beschwerdekammer ist nicht an die Begehren der Parteien gebunden (Art. 25 Abs. 6 IRSG). Sie prüft die bei ihr erhobenen Rügen grundsätzlich mit freier Kognition. Sie ist aber nicht verpflichtet, nach weiteren der Rechts- hilfe allenfalls entgegenstehenden Gründen zu forschen, die aus der Be- schwerde nicht hervorgehen (BGE 123 II 134 E. 1d; 122 II 367 E. 2d).</w:t>
      </w:r>
    </w:p>
    <w:p>
      <w:r>
        <w:t>- 5 -</w:t>
      </w:r>
    </w:p>
    <w:p>
      <w:r>
        <w:rPr>
          <w:b/>
        </w:rPr>
        <w:t>E. 4.1</w:t>
      </w:r>
    </w:p>
    <w:p>
      <w:r>
        <w:t>Der Beschwerdeführer rügt eine Verletzung seines Anspruchs auf rechtli- ches Gehör und bringt im Wesentlichen vor, er habe keine Gelegenheit er- halten, vorgängig an den Erlass der Schlussverfügung sich auf konkrete und wirkungsvolle Weise zur Übermittlung der ihn betreffenden und herauszuge- benden Bankunterlagen zu äussern und unter Angabe der Gründe geltend zu machen, welche Unterlagen etwa in Anwendung des Verhältnismässig- keitsprinzips nicht herauszugeben seien. Selbst wenn er nach Aufhebung des Mitteilungsverbots von der Bank informiert worden wäre, wäre es für ihn aufgrund der Eintretensverfügung als Laie mit Wohnsitz im Ausland nicht er- kennbar gewesen, dass er daraus habe Rechte ableiten können. Er sei nicht der Empfänger der Eintretensverfügung gewesen und daraus sei nicht ein- mal hervorgegangen, ob und welche Dokumente die Beschwerdegegnerin den ersuchenden Behörden zu übermitteln beabsichtigt habe. Die Be- schwerdegegnerin hätte den Beschwerdeführer vorgängig an den Erlass der Schlussverfügung über seine Bank auf konkrete und wirkungsvolle Weise über die beabsichtigte Übermittlung informieren müssen, damit dieser sein rechtliches Gehör hätte wahrnehmen können. Dies hätte auf die gleiche Art und Weise geschehen könne, wie die Beschwerdegegnerin in Bezug auf die Schlussverfügung vorgegangen sei.</w:t>
      </w:r>
    </w:p>
    <w:p>
      <w:r>
        <w:rPr>
          <w:b/>
        </w:rPr>
        <w:t>E. 4.2</w:t>
      </w:r>
    </w:p>
    <w:p>
      <w:r>
        <w:t>Der im Ausland ansässige Beschwerdeführer hatte bis zum Erlass der Schlussverfügung kein Zustellungsdomizil in der Schweiz im Sinne von Art. 9 IRSV bezeichnet (vgl. auch Art. 80m Abs. 1 lit. b IRSG). Die Beschwerde- gegnerin war damit nicht gehalten, dem Beschwerdeführer eine Frist anzu- setzen, um sich zum Rechtshilfeersuchen und zu den herauszugebenden Beweismitteln zu äussern (vgl. LUDWICZAK GLASSEY, Entraide judiciaire in- ternationale en matière pénale, 2018, N. 396; DIESELBE, Petit commentaire, 2024, Art. 80m IRSG N. 11; je mit Hinweisen). Das erlassene Mitteilungsver- bot wurde einstweilen bis zum 25. September 2023 befristet und nicht ver- längert, was mit Schreiben vom 24. Januar 2024 an die Bank nochmals aus- drücklich bestätigt wurde. Inwiefern es bis zum Erlass der Schlussverfügung vom 13. Juni 2024 der Bank nicht möglich gewesen wäre, den Beschwerde- führer zu informieren, und dem Beschwerdeführer, der Beschwerdegegnerin ein Zustellungsdomizil in der Schweiz mitzuteilen (vgl. LUDWICZAK GLASSEY, a.a.O., N. 396), wird vom Beschwerdeführer nicht dargelegt und ist auch nicht ersichtlich. Aus dem Umstand, dass der Beschwerdeführer nach Auf- hebung des Mitteilungsverbots nicht umgehend ein Zustellungsdomizil in der Schweiz bezeichnet hat, durfte die Beschwerdegegnerin schliessen, der Be- schwerdeführer habe damit auch auf sein Teilnahmerecht samt vorgängiger Anhörung verzichtet (vgl. Urteil des Bundesgerichts 1A.107/2006 vom 10. August 2006 E. 2.5 in fine; Entscheid des Bundesstrafgerichts</w:t>
      </w:r>
    </w:p>
    <w:p>
      <w:r>
        <w:t>- 6 -</w:t>
      </w:r>
    </w:p>
    <w:p>
      <w:r>
        <w:t>RR.2023.19 vom 18. April 2024 E. 4.3.3). Die Beschwerdegegnerin hat da- her den Anspruch des Beschwerdeführers auf rechtliches Gehör nicht ver- letzt, indem sie die Schlussverfügung vom 13. Juni 2024 ohne vorgängige Anhörung des Beschwerdeführers erliess.</w:t>
      </w:r>
    </w:p>
    <w:p>
      <w:r>
        <w:rPr>
          <w:b/>
        </w:rPr>
        <w:t>E. 5</w:t>
      </w:r>
    </w:p>
    <w:p>
      <w:r>
        <w:t>Andere Rechtshilfehindernisse werden nicht geltend gemacht. Die Be- schwerde ist mithin abzuweisen, soweit darauf einzutreten ist.</w:t>
      </w:r>
    </w:p>
    <w:p>
      <w:r>
        <w:rPr>
          <w:b/>
        </w:rPr>
        <w:t>E. 6</w:t>
      </w:r>
    </w:p>
    <w:p>
      <w:r>
        <w:t>Bei diesem Ausgang des Verfahrens sind die Gerichtskosten dem Be- schwerdeführer aufzuerlegen (vgl. Art. 63 Abs. 1 VwVG). Die Gerichtsgebühr ist auf Fr. 2'000.– festzusetzen (vgl. Art. 63 Abs. 5 VwVG i.V.m. Art. 73 StBOG sowie Art. 5 und 8 Abs. 3 lit. a des Reglements des Bundesstrafge- richts über die Kosten, Gebühren und Entschädigungen in Bundesstrafver- fahren vom 31. August 2010 [BStKR; SR 173.713.162]), unter Anrechnung des entsprechenden Betrags an den geleisteten Kostenvorschuss von Fr. 5'000.–. Die Bundesstrafgerichtskasse ist anzuweisen, dem Beschwer- deführer den Restbetrag von Fr. 3'000.– zurückzuerstatten.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