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RR.2024.79 vom 26. August 2024</w:t>
      </w:r>
    </w:p>
    <w:p>
      <w:r>
        <w:t>Bundesstrafgericht, 2024-08-26, IT</w:t>
      </w:r>
    </w:p>
    <w:p>
      <w:r>
        <w:rPr>
          <w:b/>
        </w:rPr>
        <w:t xml:space="preserve">Quelle: </w:t>
      </w:r>
      <w:r>
        <w:t>https://mcp.opencaselaw.ch/entscheid/bstger_RR.2024.79</w:t>
      </w:r>
    </w:p>
    <w:p>
      <w:r>
        <w:t>FR: TPF RR.2024.79 du 26 août 2024</w:t>
      </w:r>
    </w:p>
    <w:p>
      <w:r>
        <w:t>IT: TPF RR.2024.79 del 26 agosto 2024</w:t>
      </w:r>
    </w:p>
    <w:p>
      <w:pPr>
        <w:pStyle w:val="Heading2"/>
      </w:pPr>
      <w:r>
        <w:t>Regeste</w:t>
      </w:r>
    </w:p>
    <w:p>
      <w:r>
        <w:t>Assistenza giudiziaria internazionale in materia penale alla Romania; decisione di estradizione (art. 55 AIMP); assistenza giudiziaria gratuita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dal Secondo Protocollo addizionale del 17 marzo 1978, entrambi entrati in vi- gore il 9 giugno 1985 per la Svizzera ed il 9 dicembre 1997 per la Romania (RS 0.353.11 e 0.353.12), nonché dal Terzo Protocollo addizionale del 10 no- vembre 2010, entrato in vigore il 1° novembre 2016 per la Svizzera e il 1° gen- naio 2018 per la Romania (RS 0.353.13). Il Quarto Protocollo, per contro, è stato solo firmato da quest’ultima, ma non ratificato, per cui, contrariamente a quanto indicato nella decisione impugnata (v. act. 1.2, pag. 3), esso non è in concreto applicabile. Di rilievo è inoltre il regolamento (UE) 2018/1862 del Par- lamento europeo e del Consiglio del 28 novembre 2018 sull'istituzione, l'eserci- zio e l'uso del sistema d'informazione Schengen (SIS) nel settore della coope- razione di polizia e della cooperazione giudiziaria in materia penale, che modi- fica e abroga la decisione 2007/533/GAI del Consiglio e che abroga il regola- mento (CE) n. 1986/2006 del Parlamento europeo e del Consiglio e la decisione 2010/261/UE della Commissione, segnatamente gli art. 26-31 (n. CELEX 32018R1862; GU 312 del 7 dicembre 2018, pag. 56-106; testo consultabile sulla piattaforma di pubblicazione Internet della Confederazione alla voce “Rac- colta dei testi giuridici riguardanti gli accordi settoriali con l’UE”, 8.4 Svi- luppi dell’acquis di Schengen [www.fedlex.admin.ch/it/sector-specific- agreements/EU-acts-register/8/8.4]), in relazione con la decisione 2010/365/UE del Consiglio del 29 giugno 2010 sull’applicazione delle disposizioni dell’acquis di Schengen relative al sistema d’informazione Schengen nella Repubblica di Bulgaria e in Romania (GU L 166 del 1° luglio 2010, pag. 17-20).</w:t>
      </w:r>
    </w:p>
    <w:p>
      <w:r>
        <w:t>- 4 -</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w:t>
      </w:r>
    </w:p>
    <w:p>
      <w:r>
        <w:t>Il ricorrente contesta la domanda di estradizione rumena, nella misura in cui la Corte di Appello di Milano, Sezione V penale, con sentenza del 19 settembre 2023, basandosi sulla normativa europea concernente la consegna tra Stati membri, avrebbe deciso di eseguire in Italia la decisione estera. L’esecuzione del mandato d’arresto rumeno costituirebbe una violazione del principio ne bis in idem, oltre che della normativa comunitaria parimenti vincolante per la Ro- mania. Anche se tale normativa non si applicherebbe alla Svizzera, questa non potrebbe ignorare la violazione in parola, come non ignorabile sarebbe la sum- menzionata sentenza italiana, cresciuta in giudicato e in fase di esecuzione in Italia al momento dell’arresto in Svizzera. A suo dire, non vi sarebbe del resto nessuna parte della condanna rumena ancora eseguibile. Ma anche se si vo- lesse sostenere che una parte della sentenza rumena (4 mesi) potrebbe ancora essere eseguita in Romania, la pena effettiva da scontare non raggiungerebbe la soglia di cui all’art. 2 CEEstr, considerato il carcere già sofferto in Svizzera. Un’estradizione risulterebbe in ogni caso sproporzionata per rapporto alla sua situazione personale.</w:t>
      </w:r>
    </w:p>
    <w:p>
      <w:r>
        <w:rPr>
          <w:b/>
        </w:rPr>
        <w:t>E. 2.1</w:t>
      </w:r>
    </w:p>
    <w:p>
      <w:r>
        <w:t>Giusta l’art. 4 n. 6 della Decisione quadro del Consiglio, del 13 giugno 2002, relativa al mandato d’arresto europeo e alle procedure di consegna tra Stati membri (2002/584/GAI) (in seguito: Decisione quadro), l’autorità giudiziaria dell’esecuzione può rifiutare di eseguire il mandato d’arresto europeo se questo è stato rilasciato ai fini dell’esecuzione di una pena o di una misura di sicurezza privative della libertà, qualora la persona ricercata dimori nello Stato membro di esecuzione, ne sia cittadino o vi risieda, se tale Stato si impegni a eseguire esso stesso tale pena o misura di sicurezza conformemente al suo diritto intero.</w:t>
      </w:r>
    </w:p>
    <w:p>
      <w:r>
        <w:t>L’art. 18-bis n. 2 della legge del 22 aprile 2005 n. 69 (Disposizioni per confor- mare il diritto interno alla Decisione quadro 2002/584/GAI del Consiglio, del 13 giugno 2002, relativa al mandato d’arresto europeo e alle procedure di con- segna tra Stati membri) prevede che quando il mandato di arresto europeo è stato emesso ai fini dell’esecuzione di una pena o di una misura di sicurezza privative della libertà personale, la corte di appello può rifiutare la consegna del</w:t>
      </w:r>
    </w:p>
    <w:p>
      <w:r>
        <w:t>- 5 -</w:t>
      </w:r>
    </w:p>
    <w:p>
      <w:r>
        <w:t>cittadino italiano o di persona che legittimamente ed effettivamente risieda o dimori in via continuativa da almeno cinque anni sul territorio italiano, sempre che disponga che tale pena o misura di sicurezza sia eseguita in Italia confor- memente al suo diritto interno.</w:t>
      </w:r>
    </w:p>
    <w:p>
      <w:r>
        <w:t>Secondo l’art. 54 della Convenzione di applicazione dell'Accordo di Schengen del 14 giugno 1985 (CAS), una persona che sia stata giudicata con sentenza definitiva in una Parte contraente non può essere sottoposta ad un procedi- mento penale per i medesimi fatti in un'altra Parte contraente a condizione che, in caso di condanna, la pena sia stata eseguita o sia effettivamente in corso di esecuzione attualmente o, secondo la legge dello Stato contraente di con- danna, non possa più essere eseguita (v. più ampiamente VAN BOCKEL, The Ne Bis In Idem Principle in EU Law, 2010, pag. 19 segg., 31 e segg., 64 e segg., 205 e segg.).</w:t>
      </w:r>
    </w:p>
    <w:p>
      <w:r>
        <w:t>L’art. 5 cpv. 1 lett. b AIMP prevede che la domanda è irricevibile se la sanzione è stata eseguita o è ineseguibile secondo il diritto dello Stato del giudizio.</w:t>
      </w:r>
    </w:p>
    <w:p>
      <w:r>
        <w:rPr>
          <w:b/>
        </w:rPr>
        <w:t>E. 2.2</w:t>
      </w:r>
    </w:p>
    <w:p>
      <w:r>
        <w:t>Nella sentenza RH.2024.6, con cui è stata confermata la detenzione estradizio- nale del ricorrente, questa Corte, nell’analisi finalizzata a determinare se l’estra- dizione fosse manifestamente inammissibile ai sensi dell’art. 51 cpv. 1 AIMP, ha affermato che in concreto, con sentenza del 19 settembre 2023, la Corte d’appello di Milano ha rifiutato la consegna del reclamante “all’autorità Giudizia- ria della Repubblica di Romania in forza del mandato d’arresto europeo emesso in data 16.5.2023 dall’Autorità Giudiziaria della Romania – Judecatoria Arad li- mitatamente al reato di furto, commesso ad Arad City (Romania) il 7/8.07.2018” disponendo “che il predetto sconti in Italia la pena di anni 1 (uno) di reclusione inflitta con la sentenza n. 367/2023 del Tribunale di Arad, causa n. 8091/55/2022, in combinato disposto con la pronuncia del Tribunale di Arad, n.1098 emessa il 30.06.2020 dal Tribunale di Arad nel fascicolo n. 14869/55/2019, delle quali dispone a tal fine il riconoscimento, rigettando re- lativamente al reato di guida senza patente per difetto di doppia punibilità”. L’au- torità giudiziaria italiana ha emesso tale sentenza in applicazione della sum- menzionata Decisione quadro e dell’art. 18-bis n. 2 della legge del 22 aprile 2005 n. 69 (v. più ampiamente MOREILLON/VON WURSTEMBERGER, Coopération judiciaire pénale dans l’Union européenne, 2a ediz. 2023, pag. 245 e seg., non- ché ZANETTI, Il mandato di arresto europeo e la giurisprudenza italiana, 2009, pag. 74 e segg.). Alla luce di quanto precede, già in sede di ricorso contro la detenzione, si è posto il quesito di sapere se la rogatoria e il mandato d’arresto rumeno concernente il reclamante fossero ancora d’attualità (v. BOT, Le mandat d’arrêt européen, 2009, pag. 375 e segg.; CIMAMONTI, European Arrest Warrant in Practice and Ne Bis In Idem, in Keijzer/van Sliedregt, The European Arrest Warrant in Practice, 2009, pag. 11 e segg.). In data 13 maggio 2024, l’UFG ha dunque giustamente interpellato le autorità rumene al fine di sapere se queste,</w:t>
      </w:r>
    </w:p>
    <w:p>
      <w:r>
        <w:t>- 6 -</w:t>
      </w:r>
    </w:p>
    <w:p>
      <w:r>
        <w:t>preso atto della suddetta sentenza italiana, erano ancora interessate all’estra- dizione del reclamante. Con risposta del 14 maggio seguente, B. (Legal adviser with statute of magistrate / Ministry of Justice of Romania; Directorate for Inter- national Law and Judicial Cooperation / Division for International Cooperation in Criminal Matters) ha informato le autorità svizzere che “our office has not received, yet, a decision from the Romanian court regarding the initiation of the extradition procedure and I spoke with a representative of the court, she as- sured me that we will receive a decision tomorrow morning. I hope that the per- son will be kept in arrest until then, since we are still within the 18 days provided by the Convention”. In quell’occasione, pur omettendo di rispondere al quesito di cui sopra, le autorità rumene hanno confermato l’interesse a domandare l’estradizione, per cui questa Corte ha concluso che perlomeno per il reato di guida senza patente non risulta che la sentenza italiana di condanna abbia as- sorbito quella rumena (v. act. 3.5, allegato A, pag. 3, dove viene indicata una pena residuale di 4 mesi di detenzione), motivo per cui alla luce dell’art. 2 n. 1 seconda frase CEEstr non si poteva a quello stadio della procedura ritenere che l’intera condanna rumena fosse ineseguibile sotto il profilo del ne bis in idem (consid. 3.2).</w:t>
      </w:r>
    </w:p>
    <w:p>
      <w:r>
        <w:t>Orbene, la procedura estradizionale e gli allegati inoltrati dalle parti hanno per- messo di confermare quanto considerato nella causa RH.2024.6, ossia che alla luce della sentenza del 19 settembre 2023 emessa dalla Corte d’appello di Mi- lano in applicazione della summenzionata Decisione quadro e dell’art. 18-bis n. 2 della legge del 22 aprile 2005 n. 69, la sentenza rumena alla base della domanda di estradizione risulta ineseguibile per quanto riguarda il reato di furto aggravato, sfociato in una pena di un anno di reclusione (v. act. 1.4, pag. 3; act. 16a, pag. 1 e seg.). Contrariamente a quanto sostenuto dall’UFG, la Svizzera, nell’analisi del principio ne bis in idem, che per una parte della dottrina farebbe addirittura parte dell’ordre public (v. FIOLKA, Commentario basilese, 2015, n. 4 ad art. 5 AIMP) e che è comunque vincolante sia per la Svizzera sia per la Romania alla luce dell’art. 54 CAS, non può di certo ignorare una sentenza di un tribunale italiano emessa in virtù di un ordinamento (quello europeo) che rientra a pieno titolo nel “diritto dello Stato del giudizio” (quello rumeno) ex art.</w:t>
      </w:r>
    </w:p>
    <w:p>
      <w:r>
        <w:rPr>
          <w:b/>
        </w:rPr>
        <w:t>E. 5</w:t>
      </w:r>
    </w:p>
    <w:p>
      <w:r>
        <w:t>Il ricorrente postula la sua immediata scarcerazione.</w:t>
      </w:r>
    </w:p>
    <w:p>
      <w:r>
        <w:rPr>
          <w:b/>
        </w:rPr>
        <w:t>E. 5.1</w:t>
      </w:r>
    </w:p>
    <w:p>
      <w:r>
        <w:t>Una persona detenuta a titolo estradizionale può chiedere la liberazione prov- visoria in qualsiasi momento (art. 50 cpv. 3 AIMP). La decisione dell'UFG al riguardo può essere impugnata presso la Corte dei reclami penali entro dieci giorni (art. 48 cpv. 2 e 50 cpv. 3 AIMP). Tuttavia, la Corte dei reclami penali può eccezionalmente pronunciarsi in prima istanza su una richiesta di scarcerazione presentata nell'ambito di un ricorso contro una decisione di estradizione, se un eventuale rifiuto dell'estradizione comporterebbe anche la liberazione diretta del ricorrente, avendo tale richiesta natura puramente accessoria (sentenza del Tri- bunale federale 1A.13/2007 del 9 marzo 2017 consid. 1.2; sentenza del Tribu- nale penale federale RR.2008.59 del 19 giugno 2008 consid. 2.2).</w:t>
      </w:r>
    </w:p>
    <w:p>
      <w:r>
        <w:rPr>
          <w:b/>
        </w:rPr>
        <w:t>E. 5.2</w:t>
      </w:r>
    </w:p>
    <w:p>
      <w:r>
        <w:t>Per costante giurisprudenza, durante tutta la procedura di estradizione la car- cerazione della persona perseguita costituisce la regola mentre la scarcera- zione rimane l'eccezione (DTF 130 II 306 consid. 2.2; 117 IV 359 consid. 2a; 111 IV 108 consid. 2; 109 IV 159; 109 Ib 58 consid. 2, 223 consid. 2c; ZIMMERMANN, La coopération judiciaire internationale en matière pénale, 5a ediz. 2019, n. 348 e n. 350; HEIMGARTNER, Auslieferungsrecht, 2002, pag. 57). L'ordine di arresto in vista di estradizione può tuttavia essere annullato,</w:t>
      </w:r>
    </w:p>
    <w:p>
      <w:r>
        <w:t>- 10 -</w:t>
      </w:r>
    </w:p>
    <w:p>
      <w:r>
        <w:t>rispettivamente la liberazione ordinata, segnatamente se è verosimile che la persona perseguita non si sottrarrà all'estradizione né comprometterà l'istru- zione penale (art. 47 cpv. 1 lett. a AIMP; DTF 109 IV 159), se essa può produrre immediatamente il suo alibi (art. 47 cpv. 1 lett. b AIMP), se le sue condizioni non le permettono di essere incarcerata o se altri motivi lo giustificano e possono essere adottati altri provvedimenti cautelari (art. 47 cpv. 2 AIMP), se la domanda di estradizione e i documenti a suo sostegno non pervengono tempestivamente (art. 50 cpv. 1 AIMP) o, ancora, se l'estradizione appare manifestamente inam- missibile (art. 51 cpv. 1 AIMP).</w:t>
      </w:r>
    </w:p>
    <w:p>
      <w:r>
        <w:rPr>
          <w:b/>
        </w:rPr>
        <w:t>E. 5.3</w:t>
      </w:r>
    </w:p>
    <w:p>
      <w:r>
        <w:t>La sussistenza dei presupposti che giustificano l'annullamento dell'ordine di ar- resto, rispettivamente la scarcerazione, deve essere valutata secondo criteri ri- gorosi, tali da non rendere illusorio l'impegno assunto dalla Svizzera di conse- gnare – ove la domanda di estradizione sia accolta e cresciuta in giudicato – le persone perseguite dallo Stato che ne ha fatto la richiesta (art. 1 CEEstr); la liberazione provvisoria dalla carcerazione ai fini estradizionali soggiace in altri termini a condizioni più rigorose di quelle applicabili in materia di carcerazione preventiva (DTF 130 II 306 consid. 2.2; 111 IV 108 consid. 2 e 3; 109 Ib 223 consid. 2c).</w:t>
      </w:r>
    </w:p>
    <w:p>
      <w:r>
        <w:rPr>
          <w:b/>
        </w:rPr>
        <w:t>E. 5.4</w:t>
      </w:r>
    </w:p>
    <w:p>
      <w:r>
        <w:t>Nel caso in esame, già solo poiché, alla luce di quanto esposto sopra, l'estradi- zione dell'insorgente può essere concessa, seppur limitatamente al reato di guida senza patente, la richiesta accessoria di scarcerazione deve essere re- spinta. Va da sé che la detenzione estradizionale non potrà in ogni caso supe- rare i 4 mesi.</w:t>
      </w:r>
    </w:p>
    <w:p>
      <w:r>
        <w:rPr>
          <w:b/>
        </w:rPr>
        <w:t>E. 6</w:t>
      </w:r>
    </w:p>
    <w:p>
      <w:r>
        <w:t>Il ricorrente sollecita la concessione del beneficio dell'assistenza giudiziaria e del gratuito patrocinio nella persona dell’avv. Stefano Stillitano (v. RP.2024.21).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w:t>
      </w:r>
    </w:p>
    <w:p>
      <w:r>
        <w:t>- 11 -</w:t>
      </w:r>
    </w:p>
    <w:p>
      <w:r>
        <w:t>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6.2</w:t>
      </w:r>
    </w:p>
    <w:p>
      <w:r>
        <w:t>Questa Corte ha già potuto stabilire, nell’ambito della procedura RH.2024.6 ri- guardante la detenzione estradizionale, la precaria situazione finanziaria dell’estradando (v. sentenza RH.2024.6 del 20 giugno 2024 consid. 7.2). Tale conclusione rimane valida anche per la presente procedura. Constatato che il presente gravame presentava evidenti probabilità di successo, fatto peraltro di- mostrato anche dal suo esito, la domanda di assistenza giudiziaria gratuita va accolta, sia per ciò che concerne la dispensa dal pagamento delle spese pro- cessuali, sia per quanto riguarda l'assunzione dell'onorario del suo difensore, avv. Stefano Stillitano.</w:t>
      </w:r>
    </w:p>
    <w:p>
      <w:r>
        <w:t>- 12 -</w:t>
      </w:r>
    </w:p>
    <w:p>
      <w:r>
        <w:rPr>
          <w:b/>
        </w:rPr>
        <w:t>E. 6.3</w:t>
      </w:r>
    </w:p>
    <w:p>
      <w:r>
        <w:t>L'art. 12 cpv. 1 RSPPF prevede che l'onorario è fissato secondo il tempo, com- provato e necessario, impiegato dall'avvocato per la causa in esame e neces- sario alla difesa della parte rappresentata. Nella fattispecie, l’avv. Stillitano, con note d’onorario del 25 luglio e 20 agosto 2024 (v. act. 1.7 e 6), ha postulato il versamento di fr. 2'860.– (IVA esclusa) a titolo di ripetibili (fr. 2'600.– quale ono- rario + fr. 260.– a titolo di spese). Tale richiesta va accolta, precisato che all’im- porto in questione occorre aggiungere l’IVA (7.7%) di fr. 220.20. La Cassa del Tribunale verserà quindi direttamente al difensore d'ufficio avv. Stefano Stilli- tano l’importo di fr. 3'080.20. Non appena cessi d'essere nel bisogno, il ricor- rente, tenuto conto della parziale soccombenza, dovrà rimborsare fr. 500.– alla Confederazione (art. 65 cpv. 4 PA).</w:t>
      </w:r>
    </w:p>
    <w:p>
      <w:r>
        <w:rPr>
          <w:b/>
        </w:rPr>
        <w:t>E. 7</w:t>
      </w:r>
    </w:p>
    <w:p>
      <w:r>
        <w:t>Di principio le spese seguono la soccombenza (v. art. 63 cpv. 1 PA). Nella fat- tispecie, il ricorrente è parzialmente soccombente; tuttavia, non disponendo egli dei mezzi finanziari necessari e non apparendo l'impugnativa priva di probabilità di successo, nella presente procedura non si prelevano spese.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