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RR.2024.78A vom 24. Juli 2024</w:t>
      </w:r>
    </w:p>
    <w:p>
      <w:r>
        <w:t>Bundesstrafgericht, 2024-07-24, FR</w:t>
      </w:r>
    </w:p>
    <w:p>
      <w:r>
        <w:rPr>
          <w:b/>
        </w:rPr>
        <w:t xml:space="preserve">Quelle: </w:t>
      </w:r>
      <w:r>
        <w:t>https://mcp.opencaselaw.ch/entscheid/bstger_RR.2024.78A</w:t>
      </w:r>
    </w:p>
    <w:p>
      <w:r>
        <w:t>FR: TPF RR.2024.78A du 24 juillet 2024</w:t>
      </w:r>
    </w:p>
    <w:p>
      <w:r>
        <w:t>IT: TPF RR.2024.78A del 24 luglio 2024</w:t>
      </w:r>
    </w:p>
    <w:p>
      <w:pPr>
        <w:pStyle w:val="Heading2"/>
      </w:pPr>
      <w:r>
        <w:t>Regeste</w:t>
      </w:r>
    </w:p>
    <w:p>
      <w:r>
        <w:t>Entraide judiciaire internationale en matière pénale à la Bulgarie; remise de moyens de preuve (art. 74 EIMP); reconsidération</w:t>
      </w:r>
    </w:p>
    <w:p>
      <w:pPr>
        <w:pStyle w:val="Heading2"/>
      </w:pPr>
      <w:r>
        <w:t>Erwägungen</w:t>
      </w:r>
    </w:p>
    <w:p>
      <w:r>
        <w:rPr>
          <w:b/>
        </w:rPr>
        <w:t>E. 42</w:t>
      </w:r>
    </w:p>
    <w:p>
      <w:r>
        <w:t>consid. 2b);</w:t>
      </w:r>
    </w:p>
    <w:p>
      <w:r>
        <w:t>en l’espèce, vu le caractère exceptionnel du cas d’espèce, il y a lieu d’appliquer cette jurisprudence, par analogie, nonobstant le caractère non exécutoire de l’arrêt du 16 juillet 2024, en particulier, au regard de l’obligation de célérité prévalant dans la procédure d’entraide (v. art. 17a EIMP) et par économie de procédure;</w:t>
      </w:r>
    </w:p>
    <w:p>
      <w:r>
        <w:t>en effet, la demande de reconsidération formulée par la requérante le 18 juillet 2024 permet d’établir que la documentation requise a été envoyée à l’adresse de la Cour de céans, dans le délai imparti pour ce faire, le 12 juin 2024 (act. 1.3 et 1.4);</w:t>
      </w:r>
    </w:p>
    <w:p>
      <w:r>
        <w:t>elle est toutefois inexplicablement parvenue au MP-GE, qui l’a renvoyée à l’expéditeur le 18 juillet 2024 (act. 1.5), soit après le prononcé de l’arrêt RR.2024.54;</w:t>
      </w:r>
    </w:p>
    <w:p>
      <w:r>
        <w:t>la documentation fournie, en l’occurrence une copie de la carte d’identité de B., sur laquelle figure un exemplaire de sa signature, permet d’établir que le signataire de la procuration du 26 mars 2024, annexée au recours du 6 juin 2024, est l’administrateur unique, avec signature individuelle, de la société A. SA, selon l’extrait du Registre du Commerce du Canton de Genève;</w:t>
      </w:r>
    </w:p>
    <w:p>
      <w:r>
        <w:t>dans ces conditions, c’est pour des motifs indépendants et inconnus de la</w:t>
      </w:r>
    </w:p>
    <w:p>
      <w:r>
        <w:t>- 4 -</w:t>
      </w:r>
    </w:p>
    <w:p>
      <w:r>
        <w:t>requérante, recourante dans la procédure RR.2024.54, – et de la Cour de céans – que la documentation requise n’est pas parvenue à la Cour de céans dans le délai pour ce faire, avant le prononcé de l’arrêt du 16 juillet 2024;</w:t>
      </w:r>
    </w:p>
    <w:p>
      <w:r>
        <w:t>la demande de reconsidération doit ainsi être admise et l’arrêt RR.2024.54 du 16 juillet 2024 annulé;</w:t>
      </w:r>
    </w:p>
    <w:p>
      <w:r>
        <w:t>il en découle que la procédure de recours se poursuit dans la cause RR.2024.78, aux actes desquels le recours du 6 juin 2024 et ses annexes sont versés;</w:t>
      </w:r>
    </w:p>
    <w:p>
      <w:r>
        <w:t>l’avance de frais de CHF 5'000.-- acquittée dans la procédure RR.2024.54 est affectée à la procédure RR.2024.78;</w:t>
      </w:r>
    </w:p>
    <w:p>
      <w:r>
        <w:t>les frais sont joints au fond.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