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RR.2024.77 vom 7. Oktober 2024</w:t>
      </w:r>
    </w:p>
    <w:p>
      <w:r>
        <w:t>Bundesstrafgericht, 2024-10-07, DE</w:t>
      </w:r>
    </w:p>
    <w:p>
      <w:r>
        <w:rPr>
          <w:b/>
        </w:rPr>
        <w:t xml:space="preserve">Quelle: </w:t>
      </w:r>
      <w:r>
        <w:t>https://mcp.opencaselaw.ch/entscheid/bstger_RR.2024.77</w:t>
      </w:r>
    </w:p>
    <w:p>
      <w:r>
        <w:t>FR: TPF RR.2024.77 du 7 octobre 2024</w:t>
      </w:r>
    </w:p>
    <w:p>
      <w:r>
        <w:t>IT: TPF RR.2024.77 del 7 ottobre 2024</w:t>
      </w:r>
    </w:p>
    <w:p>
      <w:pPr>
        <w:pStyle w:val="Heading2"/>
      </w:pPr>
      <w:r>
        <w:t>Regeste</w:t>
      </w:r>
    </w:p>
    <w:p>
      <w:r>
        <w:t>Internationale Rechtshilfe an Frankreich; Beschwerde gegen Hausdurchsuchung; aufschiebende Wirkung (Art. 80l IRSG); unentgeltliche Rechtspflege (Art. 65 VwVG)</w:t>
      </w:r>
    </w:p>
    <w:p>
      <w:pPr>
        <w:pStyle w:val="Heading2"/>
      </w:pPr>
      <w:r>
        <w:t>Erwägungen</w:t>
      </w:r>
    </w:p>
    <w:p>
      <w:r>
        <w:rPr>
          <w:b/>
        </w:rPr>
        <w:t>E. 1.1</w:t>
      </w:r>
    </w:p>
    <w:p>
      <w:r>
        <w:t>Für die Rechtshilfe zwischen der Schweiz und Frankreich sind primär das Europäische Übereinkommen vom 20. April 1959 über die Rechtshilfe in Strafsachen (EUeR; SR 0.351.1), das hierzu ergangene zweite Zusatzproto- koll vom 8. November 2001 (ZP II EueR; SR 0.351.12) sowie der Vertrag vom 28. Oktober 1996 zwischen dem Schweizerischen Bundesrat und der Regierung der Französischen Republik zur Ergänzung des EUeR (SR 0.351.934.92) zu beachten. Ausserdem gelangen die Bestimmungen der Art. 48 ff. des Übereinkommens vom 19. Juni 1990 zur Durchführung des Übereinkommens von Schengen vom 14. Juni 1985 (Schengener Durchfüh- rungsübereinkommen, SDÜ; Abl. L 239 vom 22. September 2000, S. 19–62) zur Anwendung (TPF 2009 111 E. 1.2).</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geringere Anforderungen an die Rechtshilfe stellt (BGE142 IV 250 E. 3; 140 IV 123 E. 2; 137 IV 33 E. 2.2.2). Vorbehalten bleibt die Wahrung der Menschen- rechte (BGE 135 IV 212 E. 2.3;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Verfügung der ausführenden Behörde, mit der das Rechtshilfeverfahren abgeschlossen wird, kann zusammen mit den vorangehenden Zwischenver- fügungen innert einer Frist von 30 Tagen mit Beschwerde bei der Beschwer- dekammer des Bundesstrafgerichts angefochten werden (Art. 80e Abs. 1 und Art. 80k IRSG). Der Schlussverfügung vorangehende Zwischenverfü- gungen können gemäss Art. 80e Abs. 2 lit. a und b IRSG selbstständig an- gefochten werden, sofern sie durch die Beschlagnahme von Vermögenswer- ten und Wertgegenständen oder durch die Anwesenheit von Personen, die</w:t>
      </w:r>
    </w:p>
    <w:p>
      <w:r>
        <w:t>- 6 -</w:t>
      </w:r>
    </w:p>
    <w:p>
      <w:r>
        <w:t>am ausländischen Prozess beteiligt sind, einen unmittelbaren und nicht wie- der gutzumachenden Nachteil bewirken.</w:t>
      </w:r>
    </w:p>
    <w:p>
      <w:r>
        <w:t>Die Rechtsmittelordnung von Art. 80e IRSG gilt abschliessend für alle An- ordnungen der ausführenden Behörden in Rechtshilfeverfahren.</w:t>
      </w:r>
    </w:p>
    <w:p>
      <w:r>
        <w:rPr>
          <w:b/>
        </w:rPr>
        <w:t>E. 2.2</w:t>
      </w:r>
    </w:p>
    <w:p>
      <w:r>
        <w:t>Nach Art. 25a Abs. 1 VwVG kann derjenige, der ein schutzwürdiges Inte- resse hat, von der Behörde, die für Handlungen zuständig ist, welche sich auf öffentliches Recht des Bundes stützen und Rechte oder Pflichten berüh- ren, verlangen, dass sie widerrechtliche Handlungen unterlässt, einstellt oder widerruft (lit. a), die Folgen widerrechtlicher Handlungen beseitigt (lit. b) und die Widerrechtlichkeit von Handlungen feststellt (lit. c). Die Behörde ent- scheidet durch Verfügung (Art. 25a Abs. 2 VwVG). Kann der Rechtsschutz zu einem späteren Zeitpunkt im Rahmen eines Verfahrens auf Erlass einer Verfügung gewährt werden, steht Art. 25a VwVG nicht zur Verfügung (HÄNER, Praxiskommentar Verwaltungsverfahrensgesetz, 3. Aufl. 2023, N. 32 zu Art. 25a VwvG). Insofern ist der Anspruch auf Erlass einer Verfü- gung über Realakte subsidiär (BGE 140 II 316 E. 3.1; 136 V 156 E. 4.3; Urteil des Bundesgerichts 2C_601/2016 vom 15. Juni 2018 E. 6.2). Das Gesuch um Erlass einer Verfügung über einen Realakt ist an keine Frist gebunden und ist an jene Behörde zu richten, die für die Handlung selber zuständig ist (HÄNER, a.a.O., N. 48 zu Art. 25a VwVG; KIENER/RÜTSCHE/KUHN, Öffentli- ches Verfahrensrecht, 3. Aufl. 2021, N. 433).</w:t>
      </w:r>
    </w:p>
    <w:p>
      <w:r>
        <w:rPr>
          <w:b/>
        </w:rPr>
        <w:t>E. 2.3.1</w:t>
      </w:r>
    </w:p>
    <w:p>
      <w:r>
        <w:t>Das BJ beantragt ein Nichteintreten auf die Beschwerde, da es sich weder beim Hausdurchsuchungsbefehl noch bei der mündlich erfolgten Ablehnung des Siegelungsantrags durch die Bundesanwaltschaft um ein gültiges An- fechtungsobjekt handle. Die Bundesanwaltschaft begründet ihren Antrag auf Nichteintreten damit, dass weder die beanstandete gewaltsame Türöffnung, die Art der Festnahme, die Ablehnung des Siegelungsgesuch noch das Ver- halten der ersuchenden Behörde von Art. 80e IRSG erfasst würden.</w:t>
      </w:r>
    </w:p>
    <w:p>
      <w:r>
        <w:rPr>
          <w:b/>
        </w:rPr>
        <w:t>E. 2.3.2</w:t>
      </w:r>
    </w:p>
    <w:p>
      <w:r>
        <w:t>Diesbezüglich ist zunächst festzuhalten, dass der Beschwerdeführer weder den Hausdurchsuchungsbefehl noch die Zwischenverfügung betreffend die Anwesenheit ausländischer Prozessbeteiligter anficht. Der Beschwerdefüh- rer beantragt vielmehr die Feststellung der Rechtswidrigkeit und Unverhält- nismässigkeit der Gewaltanwendung und des Waffengebrauchs sowie des Türaufbruchs durch die Polizeibeamten anlässlich der Hausdurchsuchung vom 10. Juli 2024 (Anträge 1 und 2) sowie die Feststellung der Unrechtmäs- sigkeit der während der Hausdurchsuchung von der anwesenden französi- schen Amtsträgerin angefertigten Fotos des Familiendomizils sowie der von</w:t>
      </w:r>
    </w:p>
    <w:p>
      <w:r>
        <w:t>- 7 -</w:t>
      </w:r>
    </w:p>
    <w:p>
      <w:r>
        <w:t>ihr vorgenommenen Durchsicht von familienbezogenen Inhalten auf dem Laptop der Ehefrau des Beschwerdeführers (Antrag 3). Wie oben dargelegt, ist ein Gesuch um Feststellung der Widerrechtlichkeit von Handlungen bei der Behörde, welche für die Handlungen zuständig ist, zu stellen (supra E. 2.2). Auf die Anträge 1, 2 und 3 ist daher mangels Zuständigkeit der Be- schwerdekammer nicht einzutreten. Dem Beschwerdeführer ist es unbenom- men, bei der zuständigen Behörden ein entsprechendes Gesuch um Erlass einer Feststellungsverfügung zu stellen.</w:t>
      </w:r>
    </w:p>
    <w:p>
      <w:r>
        <w:rPr>
          <w:b/>
        </w:rPr>
        <w:t>E. 2.3.3</w:t>
      </w:r>
    </w:p>
    <w:p>
      <w:r>
        <w:t>Auf die Beschwerde ist sodann auch nicht einzutreten, soweit sich der Be- schwerdeführer damit gegen die Siegelungsverweigerung durch die Bundes- anwaltschaft wendet. Gemäss konstanter Rechtsprechung ist die Ablehnung eines Siegelungsgesuchs durch die ersuchende Behörde nicht selbständig anfechtbar im Sinne von Art. 80e Abs. 2 IRSG, sondern nur zusammen mit der Schlussverfügung (BGE 138 IV 40 E. 2.3.1; 127 II 151 E. 4 d/bb; 126 II 495 E. 5; Entscheide des Bundesstrafgerichts RR.2022.32 vom 14. Ap- ril 2022 E. 2.2.1; RR.2015.242 vom 17. Februar 2016 E. 3.7; RR.2015.70 vom 20. April 2015; RR.2014.280 vom 15. Januar 2015 E. 2.2; RR.2014.264 vom 14. Oktober 2014; RR.2013.159 vom 18. Juni 2013). Dem Beschwer- deführer droht durch die Ablehnung des Siegelungsgesuchs denn auch kein nicht wiedergutzumachender Nachteil, zumal sich die an der Hausdurchsu- chung anwesenden französischen Untersuchungsbeamtinnen durch Unter- zeichnung der Garantiererklärungen verpflichtet haben, von allfälligen Infor- mationen, von denen sie im Rahmen der Ermittlungstätigkeit in der Schweiz Kenntnis erhalten haben, keinen Gebrauch zu machen bis diese Informatio- nen aufgrund eines vollstreckbaren schweizerischen Entscheids an die fran- zösischen Behörden übermittelt worden sind (Verfahrensakten, Rubrik 4). Mithin dürfen die anlässlich der Hausdurchsuchung vom 8. Juli 2024 sicher- gestellten Dokumente und Datenträger bzw. die Informationen daraus vom ersuchenden Staat erst nach Vorliegen einer rechtskräftigen Schlussverfü- gung und erst nachdem der Beschwerdeführer Gelegenheit hatte, sich ge- gen die Beschlagnahme und die Übermittlung der Dokumente bzw. Daten zur Wehr zu setzen, verwendet werden. Damit ist den Rechten des Be- schwerdeführers Genüge getan (BGE 127 II 151 E. 4c/bb; 126 II 495 E. 4).</w:t>
      </w:r>
    </w:p>
    <w:p>
      <w:r>
        <w:rPr>
          <w:b/>
        </w:rPr>
        <w:t>E. 3</w:t>
      </w:r>
    </w:p>
    <w:p>
      <w:r>
        <w:t>Das Gesuch um Erteilung der aufschiebende Wirkung wird mit dem vorlie- genden Entscheid hinfällig und ist als gegenstandslos geworden abzuschrei- ben.</w:t>
      </w:r>
    </w:p>
    <w:p>
      <w:r>
        <w:t>- 8 -</w:t>
      </w:r>
    </w:p>
    <w:p>
      <w:r>
        <w:rPr>
          <w:b/>
        </w:rPr>
        <w:t>E. 4.1</w:t>
      </w:r>
    </w:p>
    <w:p>
      <w:r>
        <w:t>Der Beschwerdeführer ersucht um unentgeltliche Rechtspflege (RP.2024.19, act. 1).</w:t>
      </w:r>
    </w:p>
    <w:p>
      <w:r>
        <w:rPr>
          <w:b/>
        </w:rPr>
        <w:t>E. 4.2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4.3</w:t>
      </w:r>
    </w:p>
    <w:p>
      <w:r>
        <w:t>Vorliegend erweist sich die Beschwerde als offensichtlich aussichtslos im Sinne von Art. 65 Abs. 1 VwVG. Demzufolge ist das Gesuch des Beschwer- deführers um unentgeltliche Rechtspflege ohne Überprüfung seiner finan- ziellen Situation abzuweisen.</w:t>
      </w:r>
    </w:p>
    <w:p>
      <w:r>
        <w:rPr>
          <w:b/>
        </w:rPr>
        <w:t>E. 5</w:t>
      </w:r>
    </w:p>
    <w:p>
      <w:r>
        <w:t>Bei diesem Ausgang des Verfahrens sind die Gerichtskosten dem Be- schwerdeführer aufzuerlegen (vgl. Art. 63 Abs. 1 VwVG). Die Gerichtsgebühr ist auf Fr. 3'000.– festzusetzen (vgl. Art. 63 Abs. 5 VwVG und Art. 73 StBOG sowie Art. 5 und Art. 8 Abs. 3 lit. a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