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RR.2024.50 vom 16. Juli 2024</w:t>
      </w:r>
    </w:p>
    <w:p>
      <w:r>
        <w:t>Bundesstrafgericht, 2024-07-16, DE</w:t>
      </w:r>
    </w:p>
    <w:p>
      <w:r>
        <w:rPr>
          <w:b/>
        </w:rPr>
        <w:t xml:space="preserve">Quelle: </w:t>
      </w:r>
      <w:r>
        <w:t>https://mcp.opencaselaw.ch/entscheid/bstger_RR.2024.50</w:t>
      </w:r>
    </w:p>
    <w:p>
      <w:r>
        <w:t>FR: TPF RR.2024.50 du 16 juillet 2024</w:t>
      </w:r>
    </w:p>
    <w:p>
      <w:r>
        <w:t>IT: TPF RR.2024.50 del 16 luglio 2024</w:t>
      </w:r>
    </w:p>
    <w:p>
      <w:pPr>
        <w:pStyle w:val="Heading2"/>
      </w:pPr>
      <w:r>
        <w:t>Regeste</w:t>
      </w:r>
    </w:p>
    <w:p>
      <w:r>
        <w:t>Internationale Rechtshilfe in Strafsachen an Rumänien; Herausgabe zur Einziehung (Art. 74a IRSG); Kostenvorschuss (Art. 63 Abs. 4 VwVG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Mai 2024 eine Frist bis zum 10. Juni 2024 zur Leistung eines Kostenvor- schusses in der Höhe von Fr. 7‘000.– ansetzte (act. 5);</w:t>
      </w:r>
    </w:p>
    <w:p>
      <w:r>
        <w:t>- die Frist für die Zahlung eines Kostenvorschusses gewahrt ist, wenn der Be- trag rechtzeitig zu Gunsten des Bundesstrafgerichts der Schweizerischen</w:t>
      </w:r>
    </w:p>
    <w:p>
      <w:r>
        <w:t>- 4 -</w:t>
      </w:r>
    </w:p>
    <w:p>
      <w:r>
        <w:t>Post übergeben oder einem Post- oder Bankkonto in der Schweiz belastet worden ist (Art. 21 Abs. 3 VwVG);</w:t>
      </w:r>
    </w:p>
    <w:p>
      <w:r>
        <w:t>- die Beschwerdeführerin mit Einladung zur Leistung des Kostenvorschusses darauf hingewiesen wurde, dass bei nicht fristgemässer Leistung des Kosten- vorschusses auf die Beschwerde nicht eingetreten werde (act. 5);</w:t>
      </w:r>
    </w:p>
    <w:p>
      <w:r>
        <w:t>- die dem Gericht eingereichte Kopie des Zahlungsauftrages der Bank E. nicht geeignet ist, zu belegen, dass der Kostenvorschuss rechtzeitig zu Gunsten des Bundesstrafgerichts der Schweizerischen Post übergeben oder einem Post- oder Bankkonto in der Schweiz belastet worden ist;</w:t>
      </w:r>
    </w:p>
    <w:p>
      <w:r>
        <w:t>- der auf dem Konto des Bundesstrafgerichts am 11. Juni 2024 gutgeschrie- bene Betrag von Fr. 7‘000.– daher verspätet bezahlt worden ist;</w:t>
      </w:r>
    </w:p>
    <w:p>
      <w:r>
        <w:t>- auf die Beschwerde deshalb androhungsgemäss nicht einzutreten ist (Art. 63 Abs. 4 VwVG i.V.m. Art. 39 Abs. 2 lit. b StBOG);</w:t>
      </w:r>
    </w:p>
    <w:p>
      <w:r>
        <w:t>- auf die Beschwerde betreffend die Herausgabe der Vermögenswerte des auf B. lautenden Kontos Nr. 1 bei der Bank D. AG ohnehin mangels Legitimation der Beschwerdeführerin nicht einzutreten gewesen wäre, da bei der Erhe- bung von Kontoinformationen einzig der Kontoinhaber – vorliegend der Ehe- mann der Beschwerdeführerin – als persönlich und betroffen gilt (Art. 9a lit. a IRSV) und somit ein schutzwürdiges Interesse an der Aufhebung oder Än- derung der Rechtshilfemassnahme hat (Art. 80h lit. b IRSG);</w:t>
      </w:r>
    </w:p>
    <w:p>
      <w:r>
        <w:t>- die Gerichtskosten bei diesem Ausgang des Verfahrens der Beschwerdefüh- rerin aufzuerlegen sind (Art. 63 Abs. 1 VwVG);</w:t>
      </w:r>
    </w:p>
    <w:p>
      <w:r>
        <w:t>- die Gerichtsgebühr auf Fr. 1‘000.– festzusetzen ist (vgl. Art. 63 Abs. 5 VwVG i.V.m. Art. 73 StBOG und Art. 5 und 8 Abs. 3 lit. b des Reglements des Bun- desstrafgerichts vom 31. August 2010 über die Kosten, Gebühren und Ent- schädigungen in Bundesstrafverfahren [BStKR; SR 173.713.162]), unter An- rechnung des entsprechenden Betrags am geleisteten Kostenvorschuss von Fr. 7'000.–; die Bundesstrafgerichtskasse anzuweisen ist, der Beschwerde- führerin den Restbetrag von Fr. 6'000.– zurückzuerstatten.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