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RR.2024.38 vom 15. Mai 2024</w:t>
      </w:r>
    </w:p>
    <w:p>
      <w:r>
        <w:t>Bundesstrafgericht, 2024-05-15, DE</w:t>
      </w:r>
    </w:p>
    <w:p>
      <w:r>
        <w:rPr>
          <w:b/>
        </w:rPr>
        <w:t xml:space="preserve">Quelle: </w:t>
      </w:r>
      <w:r>
        <w:t>https://mcp.opencaselaw.ch/entscheid/bstger_RR.2024.38</w:t>
      </w:r>
    </w:p>
    <w:p>
      <w:r>
        <w:t>FR: TPF RR.2024.38 du 15 mai 2024</w:t>
      </w:r>
    </w:p>
    <w:p>
      <w:r>
        <w:t>IT: TPF RR.2024.38 del 15 maggio 2024</w:t>
      </w:r>
    </w:p>
    <w:p>
      <w:pPr>
        <w:pStyle w:val="Heading2"/>
      </w:pPr>
      <w:r>
        <w:t>Regeste</w:t>
      </w:r>
    </w:p>
    <w:p>
      <w:r>
        <w:t>Auslieferung an Deutschland; Auslieferung an Ungarn; Auslieferungsentscheid (Art. 55 IRSG); Nachtragsersuchen; Weiterlieferung (Art. 15 EAUe)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Dezember 1999 E. 8b);</w:t>
      </w:r>
    </w:p>
    <w:p>
      <w:r>
        <w:t>- die Vorbringen des Beschwerdeführers diesen Anforderungen nicht zu genügen vermögen;</w:t>
      </w:r>
    </w:p>
    <w:p>
      <w:r>
        <w:t>- sich diese nur am Rande auf das Urteil des Amtsgerichts Salgotarjan vom 28. September 2021 und den Beschluss des Landgerichts Balassagyarmat vom 12. Oktober 2022 beziehen;</w:t>
      </w:r>
    </w:p>
    <w:p>
      <w:r>
        <w:t>- nicht ersichtlich ist, dass das ausländische Strafverfahren insgesamt die Minimalgarantien nicht erfüllen würde;</w:t>
      </w:r>
    </w:p>
    <w:p>
      <w:r>
        <w:t>- 7 -</w:t>
      </w:r>
    </w:p>
    <w:p>
      <w:r>
        <w:t>- nach dem Gesagten sich die Beschwerde auch in diesem Punkt als un- begründet erweist;</w:t>
      </w:r>
    </w:p>
    <w:p>
      <w:r>
        <w:t>- die Beschwerde demnach ohne Durchführung eines Schriftenwechsels abzuweisen ist, soweit darauf einzutreten ist (vgl. Art. 57 Abs. 1 VwVG e contrario);</w:t>
      </w:r>
    </w:p>
    <w:p>
      <w:r>
        <w:t>- der Beschwerdeführer bei diesem Ausgang des Verfahrens grundsätzlich die Verfahrenskosten zu tragen hätte (vgl. Art. 63 Abs. 1 VwVG); es sich jedoch vorliegend rechtfertigt, auf die Erhebung einer Gerichtsgebühr zu verzichten (vgl. Art. 63 Abs. 1 Satz 3 VwVG);</w:t>
      </w:r>
    </w:p>
    <w:p>
      <w:r>
        <w:t>- eine Partei oder ihr Rechtsbeistand, die im Ausland wohnen, ein Zustellungs- domizil in der Schweiz zu bezeichnen haben; die Zustellung unterbleiben kann, wenn sie dies unterlassen (Art. 9 IRSV);</w:t>
      </w:r>
    </w:p>
    <w:p>
      <w:r>
        <w:t>- der derzeit in Deutschland ansässige Beschwerdeführer kein Zustellungs- domizil in der Schweiz bezeichnet hat;</w:t>
      </w:r>
    </w:p>
    <w:p>
      <w:r>
        <w:t>- das Rechtshilfeverfahren ein Verwaltungsverfahren ist (BGE 139 II 404 E. 6);</w:t>
      </w:r>
    </w:p>
    <w:p>
      <w:r>
        <w:t>- Deutschland das Europäische Übereinkommen vom 24. November 1977 über die Zustellung von Schriftstücken in Verwaltungssachen im Ausland (EÜZV94; SR 0.172.030.5) ratifiziert hat; Deutschland der Zustellung durch die Post (Art. 11 EÜZV94) widersprochen hat;</w:t>
      </w:r>
    </w:p>
    <w:p>
      <w:r>
        <w:t>- der vorliegende Entscheid gemäss Art. 3 ff. EÜZV94 zuzustellen ist;</w:t>
      </w:r>
    </w:p>
    <w:p>
      <w:r>
        <w:t>- 8 -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