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RR.2024.17 vom 13. Mai 2024</w:t>
      </w:r>
    </w:p>
    <w:p>
      <w:r>
        <w:t>Bundesstrafgericht, 2024-05-13, IT</w:t>
      </w:r>
    </w:p>
    <w:p>
      <w:r>
        <w:rPr>
          <w:b/>
        </w:rPr>
        <w:t xml:space="preserve">Quelle: </w:t>
      </w:r>
      <w:r>
        <w:t>https://mcp.opencaselaw.ch/entscheid/bstger_RR.2024.17</w:t>
      </w:r>
    </w:p>
    <w:p>
      <w:r>
        <w:t>FR: TPF RR.2024.17 du 13 mai 2024</w:t>
      </w:r>
    </w:p>
    <w:p>
      <w:r>
        <w:t>IT: TPF RR.2024.17 del 13 maggio 2024</w:t>
      </w:r>
    </w:p>
    <w:p>
      <w:pPr>
        <w:pStyle w:val="Heading2"/>
      </w:pPr>
      <w:r>
        <w:t>Regeste</w:t>
      </w:r>
    </w:p>
    <w:p>
      <w:r>
        <w:t>Assistenza giudiziaria internazionale in materia penale alla Procura europea;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Procura europea e la Confederazione Svizzera sono retti dall’AIMP, unitamente alla relativa ordi- nanza (OAIMP; RS 351.11; v. art. 1 Ordinanza sulla cooperazione con la Pro- cura europea [RS 351.13], richiamato l’art. 1 cpv. 3ter AIMP).</w:t>
      </w:r>
    </w:p>
    <w:p>
      <w:r>
        <w:rPr>
          <w:b/>
        </w:rPr>
        <w:t>E. 1.3</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per gli atti procedurali, vige il diritto procedurale determinante in materia</w:t>
      </w:r>
    </w:p>
    <w:p>
      <w:r>
        <w:t>- 4 -</w:t>
      </w:r>
    </w:p>
    <w:p>
      <w:r>
        <w:t>penale, segnatamente il CPP (v. art. 12 cpv. 1 seconda frase AIMP e art. 54 CPP).</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ricorso è ricevibile sotto il profilo degli art. 25 cpv. 1, 80e cpv. 1 e 80k AIMP.</w:t>
      </w:r>
    </w:p>
    <w:p>
      <w:r>
        <w:rPr>
          <w:b/>
        </w:rPr>
        <w:t>E. 1.6.1</w:t>
      </w:r>
    </w:p>
    <w:p>
      <w:r>
        <w:t>La ricevibilità del gravame presuppone la legittimazione a ricorrere dell’insor- gente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 nale all’estero). Il concetto di persona toccata ai sensi dei citati disposti trova concretizzazione sia nella giurisprudenza che all'art. 9a OAIMP. Per essere considerato personalmente e direttamente toccato da una misura di assistenza giudiziaria internazionale, il ricorrente deve avere un legame sufficientemente stretto con la decisione litigiosa (DTF 137 IV 134 consid. 5.2.1; 123 II 161 con- sid. 1 d/aa). Più concretamente, nel caso di una richiesta d’informazioni su un conto bancario è considerato personalmente e direttamente toccato il titolare del conto (v. art. 9a lett. a OAIMP; DTF 137 IV 134 consid. 5.2.1 e 6.1, con rinvii, e 118 Ib 547 consid. 1d), così come nelle perquisizioni domiciliari questa qualità spetta al proprietario o al locatario (v. art. 9a lett. b OAIMP; DTF 137 IV 134 consid. 6.2, con rinvii). In via giurisprudenziale è stato altresì precisato che la legittimazione a ricorrere compete alla persona direttamente sottoposta a una misura coercitiva (perquisizione, sequestro o interrogatorio; DTF 130 II 162 con- sid. 1.1; 128 II 211 consid. 2.3; 127 II 198 consid. 2d; 126 II 258 consid. 2d; 124 II 180 consid. 1b; TPF 2020 180; sentenza del Tribunale penale federale RR.2022.81 del 28 febbraio 2023 consid. 3), mentre gli interessati toccati solo in maniera indiretta, come ad esempio il mero avente diritto economico di un conto bancario, non possono impugnare tali provvedimenti (DTF 137 IV 134 consid. 5.2.1 e 122 II 130 consid. 2b e rinvii).</w:t>
      </w:r>
    </w:p>
    <w:p>
      <w:r>
        <w:rPr>
          <w:b/>
        </w:rPr>
        <w:t>E. 1.6.2</w:t>
      </w:r>
    </w:p>
    <w:p>
      <w:r>
        <w:t>In concreto, nella misura in cui il ricorrente contesta la trasmissione del suo verbale d’interrogatorio rogatoriale del 26 aprile 2023, la legittimazione è paci- fica. Essa non è per contro data per la documentazione cartacea e informatica oggetto della decisione impugnata. In questi termini, occorre quindi entrare nel merito del gravame.</w:t>
      </w:r>
    </w:p>
    <w:p>
      <w:r>
        <w:t>- 5 -</w:t>
      </w:r>
    </w:p>
    <w:p>
      <w:r>
        <w:rPr>
          <w:b/>
        </w:rPr>
        <w:t>E. 2</w:t>
      </w:r>
    </w:p>
    <w:p>
      <w:r>
        <w:t>Il ricorrente ritiene violati “il principio dell’utilità potenziale e della proporzionalità, nonché il divieto della fishing-expedition, nella misura in cui, nel suo interroga- torio vi sono dichiarazioni non pertinenti con i fatti oggetto di indagine in Italia, in quanto non rilevanti per la presunta frode carosello dell’IVA” (act. 1, pag. 11). Avendo poi l’UDSC già escluso nel corso della procedura rogatoriale la trasmis- sione della documentazione cartacea e informatica relativa a C. SA / D. Srl rac- colta nell’ambito della perquisizione della sede di B. SA, quanto dichiarato a proposito di detta società nell’ambito del suo interrogatorio risulterebbe ugual- mente inutile per il procedimento estero: trasmettere tali informazioni sarebbe contraddittorio e disattenderebbe il principio della buona fede. Egli aggiunge che la consegna del verbale d’interrogatorio gli causerebbe un pregiudizio, “ri- tenuto come verrebbero trasmesse informazioni che riguardano l’attività profes- sionale del ricorrente, nonché l’attività di B. SA e di G. GmbH, soggette quindi all’obbligo di discrezione (art. 398 cpv. 2 CO) ed al segreto commerciale (art. 162 CP)” (act. 1, pag. 12).</w:t>
      </w:r>
    </w:p>
    <w:p>
      <w:r>
        <w:rPr>
          <w:b/>
        </w:rPr>
        <w:t>E. 2.1.1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rPr>
          <w:b/>
        </w:rPr>
        <w:t>E. 2.1.2</w:t>
      </w:r>
    </w:p>
    <w:p>
      <w:r>
        <w:t>Per consolidata prassi, quando le autorità estere chiedono informazioni per ri- costruire flussi patrimoniali di natura criminale si ritiene che necessitino di regola dell'integralità della relativa documentazione, in modo tale da identificare tutte le persone o entità giuridiche coinvolte e chiarire con sufficiente ampiezza dia- cronica l'origine e la destinazione dei flussi monetari sospetti (v. DTF 129 II 462 consid. 5.5; 124 II 180 consid. 3c inedito; 121 II 241 consid. 3b e c; sentenze del Tribunale federale 1A.177/2006 del 10 dicembre 2007 consid. 5.5;</w:t>
      </w:r>
    </w:p>
    <w:p>
      <w:r>
        <w:t>- 6 -</w:t>
      </w:r>
    </w:p>
    <w:p>
      <w:r>
        <w:t>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esigenze di celerità (v. anche art. 17a cpv. 1 AIMP).</w:t>
      </w:r>
    </w:p>
    <w:p>
      <w:r>
        <w:rPr>
          <w:b/>
        </w:rPr>
        <w:t>E. 2.1.3</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al fine di chiarire in tutti i suoi aspetti i meccanismi delittuosi sotto la lente degli inquirenti esteri (sentenze del Tribunale penale federale RR.2010.173 del 13 ottobre 2010 consid. 4.2.4/a e RR.2009.320 del 2 febbraio 2010 consid. 4.1). Vietata in particolare è la cosid- detta fishing expedition, la quale è definita dalla giurisprudenza una ricerca ge- nerale ed indeterminata di mezzi di prova volta a fondare un sospetto senza che esistano pregressi elementi concreti a sostegno dello stesso (DTF 125 II 65 consid. 6b/aa pag. 73 e rinvii). Questo modo di procedere non è consentito</w:t>
      </w:r>
    </w:p>
    <w:p>
      <w:r>
        <w:t>- 7 -</w:t>
      </w:r>
    </w:p>
    <w:p>
      <w:r>
        <w:t>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2.2.1</w:t>
      </w:r>
    </w:p>
    <w:p>
      <w:r>
        <w:t>Nella sua domanda di assistenza, l’autorità estera ha chiaramente illustrato il collegamento tra l’inchiesta e B. SA, di cui il ricorrente è amministratore unico. Secondo quanto riportato in rogatoria “nel corso delle indagini è emerso che F. e la sua compagna G. hanno certamente la disponibilità di un appartamento a Lugano e che F. si avvale delle prestazioni della società fiduciaria ticinese B. SA. Inoltre, una delle società utilizzate per realizzare la frode all’IVA è la società elvetica H. A.G., operante nel mercato UE con rappresentanze fiscali in Olanda e Repubblica Ceca. Quanto emerso dalle indagini è stato confermato in sede d’interrogatorio dal sig. F.” (act. 1.6, pag. 12). Ricordato come quest’ultimo sem- bra avere rivestito il ruolo di promotore, capo e organizzatore del sodalizio cri- minale oggetto delle indagini estere (v. act. 1.6, pag. 9), l’autorità rogante, per quanto concerne le prestazioni rese da B. SA, riporta le seguenti dichiarazioni dello stesso F: “il sig. I. fa business nel settore informatico con la società J. SA che ha sede in Lussemburgo; acquisto anche da questa società; faccio alla so- cietà J. SA una fattura di consulenza mensile di 8 mila euro tramite la società elvetica E. AG; non figuro come beneficiano economico di questa società; la società E. AG mi bonifìca circa 5 mila franchi al mese su conto a me intestato presso la banca K. di Lugano; io figuro quale dipendente della E. AG; E. AG svolge servizi di marketing per la J. SA; ho detto una cosa errata, io vengo pagato in realtà non dalla E. AG ma da altra società fiduciaria, la B, AG della quale figuro dipendente; la società è dello stesso commercialista svizzero, il dr. A. Confermo che A. ha lo studio in Lugano viottolo U. A. prima lavorava per l’ufficio delle imposte. Era un tassatore capo. Lui ha ufficio sia a Lugano, sia a Zug. La E. AG è costituita presso il cantone di Zug. Io sono amministratore an- che di altra società elvetica, la L. AG, sempre domiciliata in Zug. La società controlla l’omonima società italiana che possiede delle proprietà immobiliari in Sicilia che sono affittate. Il vero proprietario è I. e io sono amministratore su sua richiesta, per fargli un favore. Socio e benefìciario economico è I. Amministra- tore della società L. Italiana è tale M. Io ero già cliente del dr. A. e ho detto io a I. di venire lì” (ibidem, pag. 13). L’autorità rogante ha aggiunto che l’indagato I., associato a delinquere con F., è un altro cliente di B. SA (v. ibidem).</w:t>
      </w:r>
    </w:p>
    <w:p>
      <w:r>
        <w:rPr>
          <w:b/>
        </w:rPr>
        <w:t>E. 2.2.2</w:t>
      </w:r>
    </w:p>
    <w:p>
      <w:r>
        <w:t>Ne discende che, già solo per questi motivi, il verbale d’interrogatorio del ricor- rente, amministratore unico di B. SA e persona espressamente menzionata nella rogatoria, presenta senz’altro un’utilità potenziale per il procedimento estero.</w:t>
      </w:r>
    </w:p>
    <w:p>
      <w:r>
        <w:t>- 8 -</w:t>
      </w:r>
    </w:p>
    <w:p>
      <w:r>
        <w:rPr>
          <w:b/>
        </w:rPr>
        <w:t>E. 2.2.3</w:t>
      </w:r>
    </w:p>
    <w:p>
      <w:r>
        <w:t>Quanto alla censurata mancata pertinenza di parte delle domande poste nell'ambito dell'interrogatorio, occorre osservare come il ricorrente sia stato sen- tito per via rogatoriale in qualità di persona informata sui fatti, senza l’obbligo quindi di rispondere alle domande senza ch'egli abbia espresso la volontà di essere assistito da un legale (v. act. 1.14, pag. 2 e seg.). Il fatto, poi, che, alla richiesta dell’interrogante di chi gli avesse presentato F., egli abbia dichiarato che “mi è stato presentato da un mio cliente ticinese del quale non voglio rive- lare l’identità in quanto ritengo che non abbia a nulla a che vedere con il pre- sente procedimento” (act. 1.14, pag. 4) dimostra che l’interrogato ha ben com- preso i suoi diritti e che quanto affermato, a contrario, sia stato da lui considerato connesso con i fatti oggetto d’indagine all’estero. Inoltre, avendo la Procura eu- ropea indicato C. SA quale entità direttamente coinvolta nella vicenda in esame – nella società sarebbero confluiti proventi della frode carosello all’IVA (v. act. 1.11) –, l’agire dell’UDSC non presta il fianco a critiche, ciò indipendentemente dal fatto ch’esso possa aver escluso in un primo momento la trasmissione di informazioni relative a tale società. Esigenze di discrezione delle persone toc- cate dalle misure rogatoriali non possono peraltro prevalere, nelle descritte cir- costanze, sulle necessità di indagine e sull'obbligo della Svizzera di accordare l'assistenza più ampia possibile (v. sentenza del Tribunale federale 1A.182/2006 del 9 agosto 2007 consid. 3.3; sentenze del Tribunale penale fe- derale RR.2023.48 dell’8 agosto 2023 consid. 2.2; RR.2017.4 del 5 maggio 2017 consid. 3.4). Il diritto alla riservatezza del ricorrente non prevale manife- stamente sugli interessi del procedimento penale, per cui il principio della pro- porzionalità non è stato disatteso neppure da questo punto di vista.</w:t>
      </w:r>
    </w:p>
    <w:p>
      <w:r>
        <w:rPr>
          <w:b/>
        </w:rPr>
        <w:t>E. 2.3.1</w:t>
      </w:r>
    </w:p>
    <w:p>
      <w:r>
        <w:t>La rivelazione di segreti commerciali non costituisce un impedimento assoluto all'esecuzione di misure rogatoriali e alla concessione di assistenza giudiziaria (v. art. 248 cpv. 1 CPP in relazione con art. 9 AIMP; sentenza del Tribunale penale federale RR.2022.137 del 10 novembre 2022 consid. 3.4.1; KELLER, Commentario zurighese, 3a ediz. 2020, n. 23 e seg. ad art. 248 CPP; v. anche GSTÖHL, Geheimnisschutz im Verfahren der internationalen Rechtshilfe in Straf- sachen, 2008, pag. 318). In caso di obbligo di testimoniare e di edizione, prevale di regola l'obbligo d'informare, dato che il segreto commerciale non costituisce un motivo per non deporre o per opporsi ad un ordine di edizione (v. GSTÖHL, op. cit., pag. 80). Per opporsi validamente ad una richiesta estera è necessario in tal senso rendere verosimile il motivo per cui il segreto in questione dovrebbe prevalere sulle esigenze del procedimento penale (v. GLUTZ, Commentario ba- silese, 2015, n. 8 ad art. 9 AIMP).</w:t>
      </w:r>
    </w:p>
    <w:p>
      <w:r>
        <w:rPr>
          <w:b/>
        </w:rPr>
        <w:t>E. 2.3.2</w:t>
      </w:r>
    </w:p>
    <w:p>
      <w:r>
        <w:t>Nel ricorso non vengono per nulla spiegate e sostanziate le ragioni per cui, nel caso concreto, la protezione degli interessi commerciali del ricorrente o di terzi prevarrebbe sugli interessi istruttori delle autorità di perseguimento penale estere, i quali sono di regola preponderanti; ragioni che neppure gli atti</w:t>
      </w:r>
    </w:p>
    <w:p>
      <w:r>
        <w:t>- 9 -</w:t>
      </w:r>
    </w:p>
    <w:p>
      <w:r>
        <w:t>dell'incarto permettono del resto di evidenziare. Le affermazioni del ricorrente in tale ambito, prive di qualsiasi riferimento a situazioni specifiche, puntuali e concrete, non permettono dunque di rifiutare l'assistenza a causa dell'invocata tutela del segreto commerciale. Sarà l’autorità rogante ad adottare eventuali misure supplementari in tal senso, qualora nel procedimento all'estero doves- sero essere presentate richieste simili, e non vi è nessuna ragione per ritenere che esse non verrebbero dovutamente prese in esame a salvaguardia dei legit- timi interessi delle parti.</w:t>
      </w:r>
    </w:p>
    <w:p>
      <w:r>
        <w:rPr>
          <w:b/>
        </w:rPr>
        <w:t>E. 2.4</w:t>
      </w:r>
    </w:p>
    <w:p>
      <w:r>
        <w:t>Per il resto, spetterà al giudice estero del merito valutare il contenuto del verbale litigioso per constatare se in concreto emerge una connessione penalmente rilevante fra i fatti oggetto della procedura penale all’estero e la testimonianza rilasciata dal ricorrente. In definitiva, la trasmissione del verbale di quest’ultimo rispetta il principio della proporzionalità e la rogatoria non costituisce di certo una fishing expedition.</w:t>
      </w:r>
    </w:p>
    <w:p>
      <w:r>
        <w:rPr>
          <w:b/>
        </w:rPr>
        <w:t>E. 3</w:t>
      </w:r>
    </w:p>
    <w:p>
      <w:r>
        <w:t>In conclusione, il ricorso va respinto nella misura della sua ammissibilità e la decisione impugnata confermata.</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4'000.–, a carico del ricorrente; essa è coperta dall'an- 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